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300"/>
        <w:gridCol w:w="2906"/>
      </w:tblGrid>
      <w:tr>
        <w:trPr>
          <w:cantSplit/>
        </w:trPr>
        <w:tc>
          <w:tcPr>
            <w:tcW w:type="dxa" w:w="7300"/>
            <w:tcBorders>
              <w:top w:val="none" w:color="FFFFFF" w:sz="0"/>
              <w:left w:val="none" w:color="FFFFFF" w:sz="0"/>
              <w:bottom w:val="none" w:color="FFFFFF" w:sz="0"/>
              <w:right w:val="none" w:color="FFFFFF" w:sz="0"/>
            </w:tcBorders>
            <w:shd w:fill="F8F4EC" w:color="auto" w:val="clear"/>
            <w:tcMar>
              <w:top w:type="dxa" w:w="160"/>
              <w:left w:type="dxa" w:w="200"/>
              <w:bottom w:type="dxa" w:w="160"/>
              <w:right w:type="dxa" w:w="120"/>
            </w:tcMar>
            <w:vAlign w:val="top"/>
          </w:tcPr>
          <w:p>
            <w:pPr>
              <w:spacing w:after="60" w:before="0"/>
            </w:pPr>
            <w:r>
              <w:drawing>
                <wp:inline distT="0" distB="0" distL="0" distR="0">
                  <wp:extent cx="2095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09550" cy="171450"/>
                          </a:xfrm>
                          <a:prstGeom prst="rect">
                            <a:avLst/>
                          </a:prstGeom>
                        </pic:spPr>
                      </pic:pic>
                    </a:graphicData>
                  </a:graphic>
                </wp:inline>
              </w:drawing>
            </w:r>
            <w:r>
              <w:rPr>
                <w:rFonts w:ascii="Arial" w:cs="Arial" w:eastAsia="Arial" w:hAnsi="Arial"/>
                <w:b/>
                <w:bCs/>
                <w:color w:val="2F6F73"/>
                <w:sz w:val="22"/>
                <w:szCs w:val="22"/>
              </w:rPr>
              <w:t xml:space="preserve">  Praxisfenster</w:t>
            </w:r>
          </w:p>
          <w:p>
            <w:pPr>
              <w:spacing w:after="60" w:before="0"/>
            </w:pPr>
            <w:r>
              <w:rPr>
                <w:rFonts w:ascii="Arial" w:cs="Arial" w:eastAsia="Arial" w:hAnsi="Arial"/>
                <w:b/>
                <w:bCs/>
                <w:color w:val="1E3A5F"/>
                <w:sz w:val="17"/>
                <w:szCs w:val="17"/>
                <w:shd w:fill="F4B183" w:color="auto" w:val="clear"/>
              </w:rPr>
              <w:t xml:space="preserve"> Einführung für Lehrpersonen  </w:t>
            </w:r>
          </w:p>
          <w:p>
            <w:pPr>
              <w:spacing w:after="40" w:before="0"/>
            </w:pPr>
            <w:r>
              <w:rPr>
                <w:rFonts w:ascii="Arial" w:cs="Arial" w:eastAsia="Arial" w:hAnsi="Arial"/>
                <w:b/>
                <w:bCs/>
                <w:color w:val="2F6F73"/>
                <w:sz w:val="40"/>
                <w:szCs w:val="40"/>
              </w:rPr>
              <w:t xml:space="preserve">Das Praxisfenster</w:t>
            </w:r>
          </w:p>
          <w:p>
            <w:pPr>
              <w:spacing w:after="0" w:before="0"/>
            </w:pPr>
            <w:r>
              <w:rPr>
                <w:rFonts w:ascii="Arial" w:cs="Arial" w:eastAsia="Arial" w:hAnsi="Arial"/>
                <w:b/>
                <w:bCs/>
                <w:color w:val="6B6B6B"/>
                <w:sz w:val="20"/>
                <w:szCs w:val="20"/>
              </w:rPr>
              <w:t xml:space="preserve">Ein Blick in die Arbeitswelt. Ein Schritt für mich.</w:t>
            </w:r>
          </w:p>
        </w:tc>
        <w:tc>
          <w:tcPr>
            <w:tcW w:type="dxa" w:w="2906"/>
            <w:tcBorders>
              <w:top w:val="none" w:color="FFFFFF" w:sz="0"/>
              <w:left w:val="none" w:color="FFFFFF" w:sz="0"/>
              <w:bottom w:val="none" w:color="FFFFFF" w:sz="0"/>
              <w:right w:val="none" w:color="FFFFFF" w:sz="0"/>
            </w:tcBorders>
            <w:shd w:fill="F8F4EC" w:color="auto" w:val="clear"/>
            <w:tcMar>
              <w:top w:type="dxa" w:w="160"/>
              <w:left w:type="dxa" w:w="120"/>
              <w:bottom w:type="dxa" w:w="120"/>
              <w:right w:type="dxa" w:w="120"/>
            </w:tcMar>
            <w:vAlign w:val="center"/>
          </w:tcPr>
          <w:p>
            <w:pPr>
              <w:spacing w:after="80" w:before="0"/>
            </w:pPr>
            <w:r>
              <w:rPr>
                <w:rFonts w:ascii="Arial" w:cs="Arial" w:eastAsia="Arial" w:hAnsi="Arial"/>
                <w:color w:val="2B2B2B"/>
                <w:sz w:val="21"/>
                <w:szCs w:val="21"/>
              </w:rPr>
              <w:t xml:space="preserve"/>
            </w:r>
          </w:p>
        </w:tc>
      </w:tr>
    </w:tbl>
    <w:p>
      <w:pPr>
        <w:keepNext/>
        <w:spacing w:after="100" w:before="260"/>
      </w:pPr>
      <w:r>
        <w:rPr>
          <w:rFonts w:ascii="Arial" w:cs="Arial" w:eastAsia="Arial" w:hAnsi="Arial"/>
          <w:b/>
          <w:bCs/>
          <w:color w:val="2F6F73"/>
          <w:sz w:val="26"/>
          <w:szCs w:val="26"/>
        </w:rPr>
        <w:t xml:space="preserve">Worum es geht</w:t>
      </w:r>
    </w:p>
    <w:p>
      <w:pPr>
        <w:spacing w:after="100" w:before="0"/>
      </w:pPr>
      <w:r>
        <w:rPr>
          <w:rFonts w:ascii="Arial" w:cs="Arial" w:eastAsia="Arial" w:hAnsi="Arial"/>
          <w:color w:val="2B2B2B"/>
          <w:sz w:val="20"/>
          <w:szCs w:val="20"/>
        </w:rPr>
        <w:t xml:space="preserve">Kinder der 5. und 6. Klasse entdecken einen Betrieb und lernen sich dadurch selbst besser kennen. In der Klasse erarbeiten sie einen Beobachtungsauftrag, besuchen den Betrieb und stellen ihre Erkenntnisse der Klasse vor.</w:t>
      </w:r>
    </w:p>
    <w:p>
      <w:pPr>
        <w:spacing w:after="100" w:before="0"/>
      </w:pPr>
      <w:r>
        <w:rPr>
          <w:rFonts w:ascii="Arial" w:cs="Arial" w:eastAsia="Arial" w:hAnsi="Arial"/>
          <w:color w:val="2B2B2B"/>
          <w:sz w:val="20"/>
          <w:szCs w:val="20"/>
        </w:rPr>
        <w:t xml:space="preserve">Durch das Praxisfenster lernen sich die Kinder nicht nur selbst besser kennen, sie erfahren auch, wie Organisationen und die Arbeitswelt funktionieren.</w:t>
      </w:r>
    </w:p>
    <w:p>
      <w:pPr>
        <w:pStyle w:val="ListParagraph"/>
        <w:numPr>
          <w:ilvl w:val="0"/>
          <w:numId w:val="2"/>
        </w:numPr>
        <w:spacing w:after="40" w:before="0"/>
      </w:pPr>
      <w:r>
        <w:rPr>
          <w:rFonts w:ascii="Arial" w:cs="Arial" w:eastAsia="Arial" w:hAnsi="Arial"/>
          <w:color w:val="2B2B2B"/>
          <w:sz w:val="19"/>
          <w:szCs w:val="19"/>
        </w:rPr>
        <w:t xml:space="preserve">Teil 1 «Ich im Zentrum»: Fähigkeiten und Interessen mit acht Fähigkeitsfenstern erkunden.</w:t>
      </w:r>
    </w:p>
    <w:p>
      <w:pPr>
        <w:pStyle w:val="ListParagraph"/>
        <w:numPr>
          <w:ilvl w:val="0"/>
          <w:numId w:val="2"/>
        </w:numPr>
        <w:spacing w:after="40" w:before="0"/>
      </w:pPr>
      <w:r>
        <w:rPr>
          <w:rFonts w:ascii="Arial" w:cs="Arial" w:eastAsia="Arial" w:hAnsi="Arial"/>
          <w:color w:val="2B2B2B"/>
          <w:sz w:val="19"/>
          <w:szCs w:val="19"/>
        </w:rPr>
        <w:t xml:space="preserve">Teil 2 «Ich im Betrieb»: einen Betrieb vorbereiten, besuchen und präsentieren, zum Beispiel am Nationalen Zukunftstag oder bei jedem anderen Betriebsbesuch.</w:t>
      </w:r>
    </w:p>
    <w:p>
      <w:pPr>
        <w:pStyle w:val="ListParagraph"/>
        <w:numPr>
          <w:ilvl w:val="0"/>
          <w:numId w:val="2"/>
        </w:numPr>
        <w:spacing w:after="40" w:before="0"/>
      </w:pPr>
      <w:r>
        <w:rPr>
          <w:rFonts w:ascii="Arial" w:cs="Arial" w:eastAsia="Arial" w:hAnsi="Arial"/>
          <w:color w:val="2B2B2B"/>
          <w:sz w:val="19"/>
          <w:szCs w:val="19"/>
        </w:rPr>
        <w:t xml:space="preserve">Teil 3 «Wirtschaftsbildung» folgt separat.</w:t>
      </w:r>
    </w:p>
    <w:p>
      <w:pPr>
        <w:spacing w:after="60" w:before="0"/>
      </w:pPr>
      <w:r>
        <w:rPr>
          <w:rFonts w:ascii="Arial" w:cs="Arial" w:eastAsia="Arial" w:hAnsi="Arial"/>
          <w:color w:val="2B2B2B"/>
          <w:sz w:val="20"/>
          <w:szCs w:val="20"/>
        </w:rPr>
        <w:t xml:space="preserve">Alle Unterlagen sind so aufgebaut, dass Lehrpersonen das Praxisfenster selbstständig durchführen können. Pro Modul gibt es eine Detailplanung, Arbeitsblätter und Folien.</w:t>
      </w:r>
    </w:p>
    <w:p>
      <w:pPr>
        <w:spacing w:after="60" w:before="0"/>
      </w:pPr>
      <w:r>
        <w:rPr>
          <w:rFonts w:ascii="Arial" w:cs="Arial" w:eastAsia="Arial" w:hAnsi="Arial"/>
          <w:color w:val="2B2B2B"/>
          <w:sz w:val="20"/>
          <w:szCs w:val="20"/>
        </w:rPr>
        <w:t xml:space="preserve">Erprobt wurde das Praxisfenster mit Klassen der Schule Guggach (Zürich) und der Schule Sihlweid (Zürich-Leimbach).</w:t>
      </w:r>
    </w:p>
    <w:p>
      <w:pPr>
        <w:keepNext/>
        <w:spacing w:after="100" w:before="260"/>
      </w:pPr>
      <w:r>
        <w:rPr>
          <w:rFonts w:ascii="Arial" w:cs="Arial" w:eastAsia="Arial" w:hAnsi="Arial"/>
          <w:b/>
          <w:bCs/>
          <w:color w:val="2F6F73"/>
          <w:sz w:val="26"/>
          <w:szCs w:val="26"/>
        </w:rPr>
        <w:t xml:space="preserve">Der rote Faden</w:t>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00"/>
        <w:gridCol w:w="3200"/>
        <w:gridCol w:w="1100"/>
        <w:gridCol w:w="1650"/>
        <w:gridCol w:w="1050"/>
        <w:gridCol w:w="2606"/>
      </w:tblGrid>
      <w:tr>
        <w:trPr>
          <w:cantSplit/>
          <w:tblHeader/>
        </w:trPr>
        <w:tc>
          <w:tcPr>
            <w:tcW w:type="dxa" w:w="600"/>
            <w:tcBorders>
              <w:top w:val="none" w:color="FFFFFF" w:sz="0"/>
              <w:left w:val="none" w:color="FFFFFF" w:sz="0"/>
              <w:bottom w:val="none" w:color="FFFFFF" w:sz="0"/>
              <w:right w:val="none" w:color="FFFFFF" w:sz="0"/>
            </w:tcBorders>
            <w:shd w:fill="2F6F73" w:color="auto" w:val="clear"/>
            <w:tcMar>
              <w:top w:type="dxa" w:w="80"/>
              <w:left w:type="dxa" w:w="120"/>
              <w:bottom w:type="dxa" w:w="80"/>
              <w:right w:type="dxa" w:w="120"/>
            </w:tcMar>
            <w:vAlign w:val="top"/>
          </w:tcPr>
          <w:p>
            <w:pPr>
              <w:spacing w:after="0" w:before="0"/>
            </w:pPr>
            <w:r>
              <w:rPr>
                <w:rFonts w:ascii="Arial" w:cs="Arial" w:eastAsia="Arial" w:hAnsi="Arial"/>
                <w:b/>
                <w:bCs/>
                <w:color w:val="FFFFFF"/>
                <w:sz w:val="18"/>
                <w:szCs w:val="18"/>
              </w:rPr>
              <w:t xml:space="preserve">Nr</w:t>
            </w:r>
          </w:p>
        </w:tc>
        <w:tc>
          <w:tcPr>
            <w:tcW w:type="dxa" w:w="3200"/>
            <w:tcBorders>
              <w:top w:val="none" w:color="FFFFFF" w:sz="0"/>
              <w:left w:val="none" w:color="FFFFFF" w:sz="0"/>
              <w:bottom w:val="none" w:color="FFFFFF" w:sz="0"/>
              <w:right w:val="none" w:color="FFFFFF" w:sz="0"/>
            </w:tcBorders>
            <w:shd w:fill="2F6F73" w:color="auto" w:val="clear"/>
            <w:tcMar>
              <w:top w:type="dxa" w:w="80"/>
              <w:left w:type="dxa" w:w="120"/>
              <w:bottom w:type="dxa" w:w="80"/>
              <w:right w:type="dxa" w:w="120"/>
            </w:tcMar>
            <w:vAlign w:val="top"/>
          </w:tcPr>
          <w:p>
            <w:pPr>
              <w:spacing w:after="0" w:before="0"/>
            </w:pPr>
            <w:r>
              <w:rPr>
                <w:rFonts w:ascii="Arial" w:cs="Arial" w:eastAsia="Arial" w:hAnsi="Arial"/>
                <w:b/>
                <w:bCs/>
                <w:color w:val="FFFFFF"/>
                <w:sz w:val="18"/>
                <w:szCs w:val="18"/>
              </w:rPr>
              <w:t xml:space="preserve">Modul</w:t>
            </w:r>
          </w:p>
        </w:tc>
        <w:tc>
          <w:tcPr>
            <w:tcW w:type="dxa" w:w="1100"/>
            <w:tcBorders>
              <w:top w:val="none" w:color="FFFFFF" w:sz="0"/>
              <w:left w:val="none" w:color="FFFFFF" w:sz="0"/>
              <w:bottom w:val="none" w:color="FFFFFF" w:sz="0"/>
              <w:right w:val="none" w:color="FFFFFF" w:sz="0"/>
            </w:tcBorders>
            <w:shd w:fill="2F6F73" w:color="auto" w:val="clear"/>
            <w:tcMar>
              <w:top w:type="dxa" w:w="80"/>
              <w:left w:type="dxa" w:w="120"/>
              <w:bottom w:type="dxa" w:w="80"/>
              <w:right w:type="dxa" w:w="120"/>
            </w:tcMar>
            <w:vAlign w:val="top"/>
          </w:tcPr>
          <w:p>
            <w:pPr>
              <w:spacing w:after="0" w:before="0"/>
            </w:pPr>
            <w:r>
              <w:rPr>
                <w:rFonts w:ascii="Arial" w:cs="Arial" w:eastAsia="Arial" w:hAnsi="Arial"/>
                <w:b/>
                <w:bCs/>
                <w:color w:val="FFFFFF"/>
                <w:sz w:val="18"/>
                <w:szCs w:val="18"/>
              </w:rPr>
              <w:t xml:space="preserve">Dauer</w:t>
            </w:r>
          </w:p>
        </w:tc>
        <w:tc>
          <w:tcPr>
            <w:tcW w:type="dxa" w:w="1650"/>
            <w:tcBorders>
              <w:top w:val="none" w:color="FFFFFF" w:sz="0"/>
              <w:left w:val="none" w:color="FFFFFF" w:sz="0"/>
              <w:bottom w:val="none" w:color="FFFFFF" w:sz="0"/>
              <w:right w:val="none" w:color="FFFFFF" w:sz="0"/>
            </w:tcBorders>
            <w:shd w:fill="2F6F73" w:color="auto" w:val="clear"/>
            <w:tcMar>
              <w:top w:type="dxa" w:w="80"/>
              <w:left w:type="dxa" w:w="120"/>
              <w:bottom w:type="dxa" w:w="80"/>
              <w:right w:type="dxa" w:w="120"/>
            </w:tcMar>
            <w:vAlign w:val="top"/>
          </w:tcPr>
          <w:p>
            <w:pPr>
              <w:spacing w:after="0" w:before="0"/>
            </w:pPr>
            <w:r>
              <w:rPr>
                <w:rFonts w:ascii="Arial" w:cs="Arial" w:eastAsia="Arial" w:hAnsi="Arial"/>
                <w:b/>
                <w:bCs/>
                <w:color w:val="FFFFFF"/>
                <w:sz w:val="18"/>
                <w:szCs w:val="18"/>
              </w:rPr>
              <w:t xml:space="preserve">Verbindlich</w:t>
            </w:r>
          </w:p>
        </w:tc>
        <w:tc>
          <w:tcPr>
            <w:tcW w:type="dxa" w:w="1050"/>
            <w:tcBorders>
              <w:top w:val="none" w:color="FFFFFF" w:sz="0"/>
              <w:left w:val="none" w:color="FFFFFF" w:sz="0"/>
              <w:bottom w:val="none" w:color="FFFFFF" w:sz="0"/>
              <w:right w:val="none" w:color="FFFFFF" w:sz="0"/>
            </w:tcBorders>
            <w:shd w:fill="2F6F73" w:color="auto" w:val="clear"/>
            <w:tcMar>
              <w:top w:type="dxa" w:w="80"/>
              <w:left w:type="dxa" w:w="120"/>
              <w:bottom w:type="dxa" w:w="80"/>
              <w:right w:type="dxa" w:w="120"/>
            </w:tcMar>
            <w:vAlign w:val="top"/>
          </w:tcPr>
          <w:p>
            <w:pPr>
              <w:spacing w:after="0" w:before="0"/>
            </w:pPr>
            <w:r>
              <w:rPr>
                <w:rFonts w:ascii="Arial" w:cs="Arial" w:eastAsia="Arial" w:hAnsi="Arial"/>
                <w:b/>
                <w:bCs/>
                <w:color w:val="FFFFFF"/>
                <w:sz w:val="18"/>
                <w:szCs w:val="18"/>
              </w:rPr>
              <w:t xml:space="preserve">Umfang</w:t>
            </w:r>
          </w:p>
        </w:tc>
        <w:tc>
          <w:tcPr>
            <w:tcW w:type="dxa" w:w="2606"/>
            <w:tcBorders>
              <w:top w:val="none" w:color="FFFFFF" w:sz="0"/>
              <w:left w:val="none" w:color="FFFFFF" w:sz="0"/>
              <w:bottom w:val="none" w:color="FFFFFF" w:sz="0"/>
              <w:right w:val="none" w:color="FFFFFF" w:sz="0"/>
            </w:tcBorders>
            <w:shd w:fill="2F6F73" w:color="auto" w:val="clear"/>
            <w:tcMar>
              <w:top w:type="dxa" w:w="80"/>
              <w:left w:type="dxa" w:w="120"/>
              <w:bottom w:type="dxa" w:w="80"/>
              <w:right w:type="dxa" w:w="120"/>
            </w:tcMar>
            <w:vAlign w:val="top"/>
          </w:tcPr>
          <w:p>
            <w:pPr>
              <w:spacing w:after="0" w:before="0"/>
            </w:pPr>
            <w:r>
              <w:rPr>
                <w:rFonts w:ascii="Arial" w:cs="Arial" w:eastAsia="Arial" w:hAnsi="Arial"/>
                <w:b/>
                <w:bCs/>
                <w:color w:val="FFFFFF"/>
                <w:sz w:val="18"/>
                <w:szCs w:val="18"/>
              </w:rPr>
              <w:t xml:space="preserve">Was passiert</w:t>
            </w:r>
          </w:p>
        </w:tc>
      </w:tr>
      <w:tr>
        <w:trPr>
          <w:cantSplit/>
        </w:trPr>
        <w:tc>
          <w:tcPr>
            <w:tcW w:type="dxa" w:w="10206"/>
            <w:gridSpan w:val="6"/>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Teil 1 · Ich im Zentrum</w:t>
            </w:r>
          </w:p>
        </w:tc>
      </w:tr>
      <w:tr>
        <w:trPr>
          <w:cantSplit/>
        </w:trPr>
        <w:tc>
          <w:tcPr>
            <w:tcW w:type="dxa" w:w="6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val="false"/>
                <w:bCs w:val="false"/>
                <w:color w:val="C86A2E"/>
                <w:sz w:val="18"/>
                <w:szCs w:val="18"/>
              </w:rPr>
              <w:t xml:space="preserve">1.1</w:t>
            </w:r>
          </w:p>
        </w:tc>
        <w:tc>
          <w:tcPr>
            <w:tcW w:type="dxa" w:w="32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bCs/>
                <w:color w:val="2B2B2B"/>
                <w:sz w:val="18"/>
                <w:szCs w:val="18"/>
              </w:rPr>
              <w:t xml:space="preserve">Tätigkeiten Schnipp-Schnapp</w:t>
            </w:r>
          </w:p>
        </w:tc>
        <w:tc>
          <w:tcPr>
            <w:tcW w:type="dxa" w:w="11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val="false"/>
                <w:bCs w:val="false"/>
                <w:color w:val="2B2B2B"/>
                <w:sz w:val="18"/>
                <w:szCs w:val="18"/>
              </w:rPr>
              <w:t xml:space="preserve">25'</w:t>
            </w:r>
          </w:p>
        </w:tc>
        <w:tc>
          <w:tcPr>
            <w:tcW w:type="dxa" w:w="165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val="false"/>
                <w:bCs w:val="false"/>
                <w:color w:val="C86A2E"/>
                <w:sz w:val="16"/>
                <w:szCs w:val="16"/>
              </w:rPr>
              <w:t xml:space="preserve">○ freiwillig</w:t>
            </w:r>
          </w:p>
        </w:tc>
        <w:tc>
          <w:tcPr>
            <w:tcW w:type="dxa" w:w="105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1E3A5F"/>
                <w:sz w:val="17"/>
                <w:szCs w:val="17"/>
              </w:rPr>
              <w:t xml:space="preserve">V</w:t>
            </w:r>
          </w:p>
        </w:tc>
        <w:tc>
          <w:tcPr>
            <w:tcW w:type="dxa" w:w="2606"/>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2B2B2B"/>
                <w:sz w:val="18"/>
                <w:szCs w:val="18"/>
              </w:rPr>
              <w:t xml:space="preserve">Kinder befragen sich gegenseitig zu Alltagstätigkeiten</w:t>
            </w:r>
          </w:p>
        </w:tc>
      </w:tr>
      <w:tr>
        <w:trPr>
          <w:cantSplit/>
        </w:trPr>
        <w:tc>
          <w:tcPr>
            <w:tcW w:type="dxa" w:w="6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val="false"/>
                <w:bCs w:val="false"/>
                <w:color w:val="C86A2E"/>
                <w:sz w:val="18"/>
                <w:szCs w:val="18"/>
              </w:rPr>
              <w:t xml:space="preserve">1.2</w:t>
            </w:r>
          </w:p>
        </w:tc>
        <w:tc>
          <w:tcPr>
            <w:tcW w:type="dxa" w:w="32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bCs/>
                <w:color w:val="2B2B2B"/>
                <w:sz w:val="18"/>
                <w:szCs w:val="18"/>
              </w:rPr>
              <w:t xml:space="preserve">Was mag ich Karten</w:t>
            </w:r>
          </w:p>
        </w:tc>
        <w:tc>
          <w:tcPr>
            <w:tcW w:type="dxa" w:w="11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val="false"/>
                <w:bCs w:val="false"/>
                <w:color w:val="2B2B2B"/>
                <w:sz w:val="18"/>
                <w:szCs w:val="18"/>
              </w:rPr>
              <w:t xml:space="preserve">25'</w:t>
            </w:r>
          </w:p>
        </w:tc>
        <w:tc>
          <w:tcPr>
            <w:tcW w:type="dxa" w:w="1650"/>
            <w:tcBorders>
              <w:top w:val="single" w:color="B9C7CF" w:sz="4"/>
              <w:left w:val="none" w:color="FFFFFF" w:sz="0"/>
              <w:bottom w:val="single" w:color="B9C7CF" w:sz="4"/>
              <w:right w:val="none" w:color="FFFFFF" w:sz="0"/>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2F6F73"/>
                <w:sz w:val="16"/>
                <w:szCs w:val="16"/>
              </w:rPr>
              <w:t xml:space="preserve">● obligatorisch</w:t>
            </w:r>
          </w:p>
        </w:tc>
        <w:tc>
          <w:tcPr>
            <w:tcW w:type="dxa" w:w="105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1E3A5F"/>
                <w:sz w:val="17"/>
                <w:szCs w:val="17"/>
              </w:rPr>
              <w:t xml:space="preserve">M · K · V</w:t>
            </w:r>
          </w:p>
        </w:tc>
        <w:tc>
          <w:tcPr>
            <w:tcW w:type="dxa" w:w="2606"/>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2B2B2B"/>
                <w:sz w:val="18"/>
                <w:szCs w:val="18"/>
              </w:rPr>
              <w:t xml:space="preserve">Rundgang mit 16 Bildkarten und Laufblatt «Was mag ich?»</w:t>
            </w:r>
          </w:p>
        </w:tc>
      </w:tr>
      <w:tr>
        <w:trPr>
          <w:cantSplit/>
        </w:trPr>
        <w:tc>
          <w:tcPr>
            <w:tcW w:type="dxa" w:w="6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val="false"/>
                <w:bCs w:val="false"/>
                <w:color w:val="C86A2E"/>
                <w:sz w:val="18"/>
                <w:szCs w:val="18"/>
              </w:rPr>
              <w:t xml:space="preserve">1.3</w:t>
            </w:r>
          </w:p>
        </w:tc>
        <w:tc>
          <w:tcPr>
            <w:tcW w:type="dxa" w:w="32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bCs/>
                <w:color w:val="2B2B2B"/>
                <w:sz w:val="18"/>
                <w:szCs w:val="18"/>
              </w:rPr>
              <w:t xml:space="preserve">Intelligenzen</w:t>
            </w:r>
          </w:p>
        </w:tc>
        <w:tc>
          <w:tcPr>
            <w:tcW w:type="dxa" w:w="11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val="false"/>
                <w:bCs w:val="false"/>
                <w:color w:val="2B2B2B"/>
                <w:sz w:val="18"/>
                <w:szCs w:val="18"/>
              </w:rPr>
              <w:t xml:space="preserve">25'</w:t>
            </w:r>
          </w:p>
        </w:tc>
        <w:tc>
          <w:tcPr>
            <w:tcW w:type="dxa" w:w="1650"/>
            <w:tcBorders>
              <w:top w:val="single" w:color="B9C7CF" w:sz="4"/>
              <w:left w:val="none" w:color="FFFFFF" w:sz="0"/>
              <w:bottom w:val="single" w:color="B9C7CF" w:sz="4"/>
              <w:right w:val="none" w:color="FFFFFF" w:sz="0"/>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2F6F73"/>
                <w:sz w:val="16"/>
                <w:szCs w:val="16"/>
              </w:rPr>
              <w:t xml:space="preserve">● obligatorisch</w:t>
            </w:r>
          </w:p>
        </w:tc>
        <w:tc>
          <w:tcPr>
            <w:tcW w:type="dxa" w:w="105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1E3A5F"/>
                <w:sz w:val="17"/>
                <w:szCs w:val="17"/>
              </w:rPr>
              <w:t xml:space="preserve">M · K · V</w:t>
            </w:r>
          </w:p>
        </w:tc>
        <w:tc>
          <w:tcPr>
            <w:tcW w:type="dxa" w:w="2606"/>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2B2B2B"/>
                <w:sz w:val="18"/>
                <w:szCs w:val="18"/>
              </w:rPr>
              <w:t xml:space="preserve">Die 8 Fähigkeitsfenster nach Gardner kennenlernen</w:t>
            </w:r>
          </w:p>
        </w:tc>
      </w:tr>
      <w:tr>
        <w:trPr>
          <w:cantSplit/>
        </w:trPr>
        <w:tc>
          <w:tcPr>
            <w:tcW w:type="dxa" w:w="6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val="false"/>
                <w:bCs w:val="false"/>
                <w:color w:val="C86A2E"/>
                <w:sz w:val="18"/>
                <w:szCs w:val="18"/>
              </w:rPr>
              <w:t xml:space="preserve">1.4</w:t>
            </w:r>
          </w:p>
        </w:tc>
        <w:tc>
          <w:tcPr>
            <w:tcW w:type="dxa" w:w="32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bCs/>
                <w:color w:val="2B2B2B"/>
                <w:sz w:val="18"/>
                <w:szCs w:val="18"/>
              </w:rPr>
              <w:t xml:space="preserve">Mein Vorbild</w:t>
            </w:r>
          </w:p>
        </w:tc>
        <w:tc>
          <w:tcPr>
            <w:tcW w:type="dxa" w:w="11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val="false"/>
                <w:bCs w:val="false"/>
                <w:color w:val="2B2B2B"/>
                <w:sz w:val="18"/>
                <w:szCs w:val="18"/>
              </w:rPr>
              <w:t xml:space="preserve">75'</w:t>
            </w:r>
          </w:p>
        </w:tc>
        <w:tc>
          <w:tcPr>
            <w:tcW w:type="dxa" w:w="165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val="false"/>
                <w:bCs w:val="false"/>
                <w:color w:val="C86A2E"/>
                <w:sz w:val="16"/>
                <w:szCs w:val="16"/>
              </w:rPr>
              <w:t xml:space="preserve">○ freiwillig</w:t>
            </w:r>
          </w:p>
        </w:tc>
        <w:tc>
          <w:tcPr>
            <w:tcW w:type="dxa" w:w="105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1E3A5F"/>
                <w:sz w:val="17"/>
                <w:szCs w:val="17"/>
              </w:rPr>
              <w:t xml:space="preserve">V</w:t>
            </w:r>
          </w:p>
        </w:tc>
        <w:tc>
          <w:tcPr>
            <w:tcW w:type="dxa" w:w="2606"/>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2B2B2B"/>
                <w:sz w:val="18"/>
                <w:szCs w:val="18"/>
              </w:rPr>
              <w:t xml:space="preserve">Lernweg eines Vorbilds, Präsentation, Be a Picasso</w:t>
            </w:r>
          </w:p>
        </w:tc>
      </w:tr>
      <w:tr>
        <w:trPr>
          <w:cantSplit/>
        </w:trPr>
        <w:tc>
          <w:tcPr>
            <w:tcW w:type="dxa" w:w="6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val="false"/>
                <w:bCs w:val="false"/>
                <w:color w:val="C86A2E"/>
                <w:sz w:val="18"/>
                <w:szCs w:val="18"/>
              </w:rPr>
              <w:t xml:space="preserve">1.5</w:t>
            </w:r>
          </w:p>
        </w:tc>
        <w:tc>
          <w:tcPr>
            <w:tcW w:type="dxa" w:w="32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bCs/>
                <w:color w:val="2B2B2B"/>
                <w:sz w:val="18"/>
                <w:szCs w:val="18"/>
              </w:rPr>
              <w:t xml:space="preserve">Journal-Aufträge</w:t>
            </w:r>
          </w:p>
        </w:tc>
        <w:tc>
          <w:tcPr>
            <w:tcW w:type="dxa" w:w="11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val="false"/>
                <w:bCs w:val="false"/>
                <w:color w:val="2B2B2B"/>
                <w:sz w:val="18"/>
                <w:szCs w:val="18"/>
              </w:rPr>
              <w:t xml:space="preserve">4–8 × 20'</w:t>
            </w:r>
          </w:p>
        </w:tc>
        <w:tc>
          <w:tcPr>
            <w:tcW w:type="dxa" w:w="1650"/>
            <w:tcBorders>
              <w:top w:val="single" w:color="B9C7CF" w:sz="4"/>
              <w:left w:val="none" w:color="FFFFFF" w:sz="0"/>
              <w:bottom w:val="single" w:color="B9C7CF" w:sz="4"/>
              <w:right w:val="none" w:color="FFFFFF" w:sz="0"/>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2F6F73"/>
                <w:sz w:val="16"/>
                <w:szCs w:val="16"/>
              </w:rPr>
              <w:t xml:space="preserve">● obligatorisch</w:t>
            </w:r>
          </w:p>
        </w:tc>
        <w:tc>
          <w:tcPr>
            <w:tcW w:type="dxa" w:w="105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1E3A5F"/>
                <w:sz w:val="17"/>
                <w:szCs w:val="17"/>
              </w:rPr>
              <w:t xml:space="preserve">K · V</w:t>
            </w:r>
          </w:p>
        </w:tc>
        <w:tc>
          <w:tcPr>
            <w:tcW w:type="dxa" w:w="2606"/>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2B2B2B"/>
                <w:sz w:val="18"/>
                <w:szCs w:val="18"/>
              </w:rPr>
              <w:t xml:space="preserve">Kurze Aufträge zu allen Fähigkeitsfenstern (mindestens 4 von 8)</w:t>
            </w:r>
          </w:p>
        </w:tc>
      </w:tr>
      <w:tr>
        <w:trPr>
          <w:cantSplit/>
        </w:trPr>
        <w:tc>
          <w:tcPr>
            <w:tcW w:type="dxa" w:w="10206"/>
            <w:gridSpan w:val="6"/>
            <w:tcBorders>
              <w:top w:val="single" w:color="B9C7CF" w:sz="4"/>
              <w:left w:val="none" w:color="FFFFFF" w:sz="0"/>
              <w:bottom w:val="single" w:color="B9C7CF" w:sz="4"/>
              <w:right w:val="none" w:color="FFFFFF" w:sz="0"/>
            </w:tcBorders>
            <w:shd w:fill="F8F4EC" w:color="auto" w:val="clear"/>
            <w:tcMar>
              <w:top w:type="dxa" w:w="80"/>
              <w:left w:type="dxa" w:w="120"/>
              <w:bottom w:type="dxa" w:w="80"/>
              <w:right w:type="dxa" w:w="120"/>
            </w:tcMar>
            <w:vAlign w:val="top"/>
          </w:tcPr>
          <w:p>
            <w:pPr>
              <w:spacing w:after="0" w:before="0"/>
            </w:pPr>
            <w:r>
              <w:rPr>
                <w:rFonts w:ascii="Arial" w:cs="Arial" w:eastAsia="Arial" w:hAnsi="Arial"/>
                <w:b/>
                <w:bCs/>
                <w:color w:val="1E3A5F"/>
                <w:sz w:val="19"/>
                <w:szCs w:val="19"/>
              </w:rPr>
              <w:t xml:space="preserve">Teil 2 · Ich im Betrieb</w:t>
            </w:r>
          </w:p>
        </w:tc>
      </w:tr>
      <w:tr>
        <w:trPr>
          <w:cantSplit/>
        </w:trPr>
        <w:tc>
          <w:tcPr>
            <w:tcW w:type="dxa" w:w="6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val="false"/>
                <w:bCs w:val="false"/>
                <w:color w:val="C86A2E"/>
                <w:sz w:val="18"/>
                <w:szCs w:val="18"/>
              </w:rPr>
              <w:t xml:space="preserve">2.1</w:t>
            </w:r>
          </w:p>
        </w:tc>
        <w:tc>
          <w:tcPr>
            <w:tcW w:type="dxa" w:w="32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bCs/>
                <w:color w:val="2B2B2B"/>
                <w:sz w:val="18"/>
                <w:szCs w:val="18"/>
              </w:rPr>
              <w:t xml:space="preserve">Beispielbetrieb Schule</w:t>
            </w:r>
          </w:p>
        </w:tc>
        <w:tc>
          <w:tcPr>
            <w:tcW w:type="dxa" w:w="11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val="false"/>
                <w:bCs w:val="false"/>
                <w:color w:val="2B2B2B"/>
                <w:sz w:val="18"/>
                <w:szCs w:val="18"/>
              </w:rPr>
              <w:t xml:space="preserve">20'</w:t>
            </w:r>
          </w:p>
        </w:tc>
        <w:tc>
          <w:tcPr>
            <w:tcW w:type="dxa" w:w="1650"/>
            <w:tcBorders>
              <w:top w:val="single" w:color="B9C7CF" w:sz="4"/>
              <w:left w:val="none" w:color="FFFFFF" w:sz="0"/>
              <w:bottom w:val="single" w:color="B9C7CF" w:sz="4"/>
              <w:right w:val="none" w:color="FFFFFF" w:sz="0"/>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2F6F73"/>
                <w:sz w:val="16"/>
                <w:szCs w:val="16"/>
              </w:rPr>
              <w:t xml:space="preserve">● obligatorisch</w:t>
            </w:r>
          </w:p>
        </w:tc>
        <w:tc>
          <w:tcPr>
            <w:tcW w:type="dxa" w:w="105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1E3A5F"/>
                <w:sz w:val="17"/>
                <w:szCs w:val="17"/>
              </w:rPr>
              <w:t xml:space="preserve">K · V</w:t>
            </w:r>
          </w:p>
        </w:tc>
        <w:tc>
          <w:tcPr>
            <w:tcW w:type="dxa" w:w="2606"/>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2B2B2B"/>
                <w:sz w:val="18"/>
                <w:szCs w:val="18"/>
              </w:rPr>
              <w:t xml:space="preserve">Betriebs-Check mit fünf Fragen</w:t>
            </w:r>
          </w:p>
        </w:tc>
      </w:tr>
      <w:tr>
        <w:trPr>
          <w:cantSplit/>
        </w:trPr>
        <w:tc>
          <w:tcPr>
            <w:tcW w:type="dxa" w:w="6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val="false"/>
                <w:bCs w:val="false"/>
                <w:color w:val="C86A2E"/>
                <w:sz w:val="18"/>
                <w:szCs w:val="18"/>
              </w:rPr>
              <w:t xml:space="preserve">2.2</w:t>
            </w:r>
          </w:p>
        </w:tc>
        <w:tc>
          <w:tcPr>
            <w:tcW w:type="dxa" w:w="32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bCs/>
                <w:color w:val="2B2B2B"/>
                <w:sz w:val="18"/>
                <w:szCs w:val="18"/>
              </w:rPr>
              <w:t xml:space="preserve">Betriebstypen</w:t>
            </w:r>
          </w:p>
        </w:tc>
        <w:tc>
          <w:tcPr>
            <w:tcW w:type="dxa" w:w="11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val="false"/>
                <w:bCs w:val="false"/>
                <w:color w:val="2B2B2B"/>
                <w:sz w:val="18"/>
                <w:szCs w:val="18"/>
              </w:rPr>
              <w:t xml:space="preserve">30'</w:t>
            </w:r>
          </w:p>
        </w:tc>
        <w:tc>
          <w:tcPr>
            <w:tcW w:type="dxa" w:w="1650"/>
            <w:tcBorders>
              <w:top w:val="single" w:color="B9C7CF" w:sz="4"/>
              <w:left w:val="none" w:color="FFFFFF" w:sz="0"/>
              <w:bottom w:val="single" w:color="B9C7CF" w:sz="4"/>
              <w:right w:val="none" w:color="FFFFFF" w:sz="0"/>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2F6F73"/>
                <w:sz w:val="16"/>
                <w:szCs w:val="16"/>
              </w:rPr>
              <w:t xml:space="preserve">● obligatorisch</w:t>
            </w:r>
          </w:p>
        </w:tc>
        <w:tc>
          <w:tcPr>
            <w:tcW w:type="dxa" w:w="105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1E3A5F"/>
                <w:sz w:val="17"/>
                <w:szCs w:val="17"/>
              </w:rPr>
              <w:t xml:space="preserve">M · K · V</w:t>
            </w:r>
          </w:p>
        </w:tc>
        <w:tc>
          <w:tcPr>
            <w:tcW w:type="dxa" w:w="2606"/>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2B2B2B"/>
                <w:sz w:val="18"/>
                <w:szCs w:val="18"/>
              </w:rPr>
              <w:t xml:space="preserve">Produktion, Handel, Dienstleistung und Soziogramm</w:t>
            </w:r>
          </w:p>
        </w:tc>
      </w:tr>
      <w:tr>
        <w:trPr>
          <w:cantSplit/>
        </w:trPr>
        <w:tc>
          <w:tcPr>
            <w:tcW w:type="dxa" w:w="6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val="false"/>
                <w:bCs w:val="false"/>
                <w:color w:val="C86A2E"/>
                <w:sz w:val="18"/>
                <w:szCs w:val="18"/>
              </w:rPr>
              <w:t xml:space="preserve">2.3</w:t>
            </w:r>
          </w:p>
        </w:tc>
        <w:tc>
          <w:tcPr>
            <w:tcW w:type="dxa" w:w="32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bCs/>
                <w:color w:val="2B2B2B"/>
                <w:sz w:val="18"/>
                <w:szCs w:val="18"/>
              </w:rPr>
              <w:t xml:space="preserve">Betriebssuche</w:t>
            </w:r>
          </w:p>
        </w:tc>
        <w:tc>
          <w:tcPr>
            <w:tcW w:type="dxa" w:w="11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val="false"/>
                <w:bCs w:val="false"/>
                <w:color w:val="2B2B2B"/>
                <w:sz w:val="18"/>
                <w:szCs w:val="18"/>
              </w:rPr>
              <w:t xml:space="preserve">laufend, 30'</w:t>
            </w:r>
          </w:p>
        </w:tc>
        <w:tc>
          <w:tcPr>
            <w:tcW w:type="dxa" w:w="1650"/>
            <w:tcBorders>
              <w:top w:val="single" w:color="B9C7CF" w:sz="4"/>
              <w:left w:val="none" w:color="FFFFFF" w:sz="0"/>
              <w:bottom w:val="single" w:color="B9C7CF" w:sz="4"/>
              <w:right w:val="none" w:color="FFFFFF" w:sz="0"/>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2F6F73"/>
                <w:sz w:val="16"/>
                <w:szCs w:val="16"/>
              </w:rPr>
              <w:t xml:space="preserve">● obligatorisch</w:t>
            </w:r>
          </w:p>
        </w:tc>
        <w:tc>
          <w:tcPr>
            <w:tcW w:type="dxa" w:w="105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1E3A5F"/>
                <w:sz w:val="17"/>
                <w:szCs w:val="17"/>
              </w:rPr>
              <w:t xml:space="preserve">K · V</w:t>
            </w:r>
          </w:p>
        </w:tc>
        <w:tc>
          <w:tcPr>
            <w:tcW w:type="dxa" w:w="2606"/>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2B2B2B"/>
                <w:sz w:val="18"/>
                <w:szCs w:val="18"/>
              </w:rPr>
              <w:t xml:space="preserve">Elternbrief, Anfrage, Talon, Übersicht. Nur nötig, wenn Betriebe noch fehlen.</w:t>
            </w:r>
          </w:p>
        </w:tc>
      </w:tr>
      <w:tr>
        <w:trPr>
          <w:cantSplit/>
        </w:trPr>
        <w:tc>
          <w:tcPr>
            <w:tcW w:type="dxa" w:w="6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val="false"/>
                <w:bCs w:val="false"/>
                <w:color w:val="C86A2E"/>
                <w:sz w:val="18"/>
                <w:szCs w:val="18"/>
              </w:rPr>
              <w:t xml:space="preserve">2.4</w:t>
            </w:r>
          </w:p>
        </w:tc>
        <w:tc>
          <w:tcPr>
            <w:tcW w:type="dxa" w:w="32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bCs/>
                <w:color w:val="2B2B2B"/>
                <w:sz w:val="18"/>
                <w:szCs w:val="18"/>
              </w:rPr>
              <w:t xml:space="preserve">Betriebserarbeitung mit Karton / Lego etc. und Präsentation</w:t>
            </w:r>
          </w:p>
        </w:tc>
        <w:tc>
          <w:tcPr>
            <w:tcW w:type="dxa" w:w="11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val="false"/>
                <w:bCs w:val="false"/>
                <w:color w:val="2B2B2B"/>
                <w:sz w:val="18"/>
                <w:szCs w:val="18"/>
              </w:rPr>
              <w:t xml:space="preserve">90'</w:t>
            </w:r>
          </w:p>
        </w:tc>
        <w:tc>
          <w:tcPr>
            <w:tcW w:type="dxa" w:w="165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val="false"/>
                <w:bCs w:val="false"/>
                <w:color w:val="C86A2E"/>
                <w:sz w:val="16"/>
                <w:szCs w:val="16"/>
              </w:rPr>
              <w:t xml:space="preserve">○ freiwillig</w:t>
            </w:r>
          </w:p>
        </w:tc>
        <w:tc>
          <w:tcPr>
            <w:tcW w:type="dxa" w:w="105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1E3A5F"/>
                <w:sz w:val="17"/>
                <w:szCs w:val="17"/>
              </w:rPr>
              <w:t xml:space="preserve">V</w:t>
            </w:r>
          </w:p>
        </w:tc>
        <w:tc>
          <w:tcPr>
            <w:tcW w:type="dxa" w:w="2606"/>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2B2B2B"/>
                <w:sz w:val="18"/>
                <w:szCs w:val="18"/>
              </w:rPr>
              <w:t xml:space="preserve">Modell eines Betriebs, ein Tag im Betrieb</w:t>
            </w:r>
          </w:p>
        </w:tc>
      </w:tr>
      <w:tr>
        <w:trPr>
          <w:cantSplit/>
        </w:trPr>
        <w:tc>
          <w:tcPr>
            <w:tcW w:type="dxa" w:w="6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val="false"/>
                <w:bCs w:val="false"/>
                <w:color w:val="C86A2E"/>
                <w:sz w:val="18"/>
                <w:szCs w:val="18"/>
              </w:rPr>
              <w:t xml:space="preserve">2.5</w:t>
            </w:r>
          </w:p>
        </w:tc>
        <w:tc>
          <w:tcPr>
            <w:tcW w:type="dxa" w:w="32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bCs/>
                <w:color w:val="2B2B2B"/>
                <w:sz w:val="18"/>
                <w:szCs w:val="18"/>
              </w:rPr>
              <w:t xml:space="preserve">Bewerbungsprofil erstellen und Casting</w:t>
            </w:r>
          </w:p>
        </w:tc>
        <w:tc>
          <w:tcPr>
            <w:tcW w:type="dxa" w:w="11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val="false"/>
                <w:bCs w:val="false"/>
                <w:color w:val="2B2B2B"/>
                <w:sz w:val="18"/>
                <w:szCs w:val="18"/>
              </w:rPr>
              <w:t xml:space="preserve">30'</w:t>
            </w:r>
          </w:p>
        </w:tc>
        <w:tc>
          <w:tcPr>
            <w:tcW w:type="dxa" w:w="165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val="false"/>
                <w:bCs w:val="false"/>
                <w:color w:val="C86A2E"/>
                <w:sz w:val="16"/>
                <w:szCs w:val="16"/>
              </w:rPr>
              <w:t xml:space="preserve">○ freiwillig</w:t>
            </w:r>
          </w:p>
        </w:tc>
        <w:tc>
          <w:tcPr>
            <w:tcW w:type="dxa" w:w="105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1E3A5F"/>
                <w:sz w:val="17"/>
                <w:szCs w:val="17"/>
              </w:rPr>
              <w:t xml:space="preserve">V</w:t>
            </w:r>
          </w:p>
        </w:tc>
        <w:tc>
          <w:tcPr>
            <w:tcW w:type="dxa" w:w="2606"/>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2B2B2B"/>
                <w:sz w:val="18"/>
                <w:szCs w:val="18"/>
              </w:rPr>
              <w:t xml:space="preserve">Wen stellen wir ein? Begründen mit Fähigkeitsfenstern</w:t>
            </w:r>
          </w:p>
        </w:tc>
      </w:tr>
      <w:tr>
        <w:trPr>
          <w:cantSplit/>
        </w:trPr>
        <w:tc>
          <w:tcPr>
            <w:tcW w:type="dxa" w:w="6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val="false"/>
                <w:bCs w:val="false"/>
                <w:color w:val="C86A2E"/>
                <w:sz w:val="18"/>
                <w:szCs w:val="18"/>
              </w:rPr>
              <w:t xml:space="preserve">2.6</w:t>
            </w:r>
          </w:p>
        </w:tc>
        <w:tc>
          <w:tcPr>
            <w:tcW w:type="dxa" w:w="32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bCs/>
                <w:color w:val="2B2B2B"/>
                <w:sz w:val="18"/>
                <w:szCs w:val="18"/>
              </w:rPr>
              <w:t xml:space="preserve">Praktisches Betriebsbesuch, Eigene Rolle, Avatar &amp; Lernfrage</w:t>
            </w:r>
          </w:p>
        </w:tc>
        <w:tc>
          <w:tcPr>
            <w:tcW w:type="dxa" w:w="11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val="false"/>
                <w:bCs w:val="false"/>
                <w:color w:val="2B2B2B"/>
                <w:sz w:val="18"/>
                <w:szCs w:val="18"/>
              </w:rPr>
              <w:t xml:space="preserve">90'</w:t>
            </w:r>
          </w:p>
        </w:tc>
        <w:tc>
          <w:tcPr>
            <w:tcW w:type="dxa" w:w="1650"/>
            <w:tcBorders>
              <w:top w:val="single" w:color="B9C7CF" w:sz="4"/>
              <w:left w:val="none" w:color="FFFFFF" w:sz="0"/>
              <w:bottom w:val="single" w:color="B9C7CF" w:sz="4"/>
              <w:right w:val="none" w:color="FFFFFF" w:sz="0"/>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2F6F73"/>
                <w:sz w:val="16"/>
                <w:szCs w:val="16"/>
              </w:rPr>
              <w:t xml:space="preserve">● obligatorisch</w:t>
            </w:r>
          </w:p>
        </w:tc>
        <w:tc>
          <w:tcPr>
            <w:tcW w:type="dxa" w:w="105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1E3A5F"/>
                <w:sz w:val="17"/>
                <w:szCs w:val="17"/>
              </w:rPr>
              <w:t xml:space="preserve">M · K · V</w:t>
            </w:r>
          </w:p>
        </w:tc>
        <w:tc>
          <w:tcPr>
            <w:tcW w:type="dxa" w:w="2606"/>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2B2B2B"/>
                <w:sz w:val="18"/>
                <w:szCs w:val="18"/>
              </w:rPr>
              <w:t xml:space="preserve">Logbuch, Lernfrage, Avatar, Auftrag wählen</w:t>
            </w:r>
          </w:p>
        </w:tc>
      </w:tr>
      <w:tr>
        <w:trPr>
          <w:cantSplit/>
        </w:trPr>
        <w:tc>
          <w:tcPr>
            <w:tcW w:type="dxa" w:w="6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val="false"/>
                <w:bCs w:val="false"/>
                <w:color w:val="C86A2E"/>
                <w:sz w:val="18"/>
                <w:szCs w:val="18"/>
              </w:rPr>
              <w:t xml:space="preserve">2.7</w:t>
            </w:r>
          </w:p>
        </w:tc>
        <w:tc>
          <w:tcPr>
            <w:tcW w:type="dxa" w:w="32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bCs/>
                <w:color w:val="2B2B2B"/>
                <w:sz w:val="18"/>
                <w:szCs w:val="18"/>
              </w:rPr>
              <w:t xml:space="preserve">Betriebsbesuch</w:t>
            </w:r>
          </w:p>
        </w:tc>
        <w:tc>
          <w:tcPr>
            <w:tcW w:type="dxa" w:w="11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val="false"/>
                <w:bCs w:val="false"/>
                <w:color w:val="2B2B2B"/>
                <w:sz w:val="18"/>
                <w:szCs w:val="18"/>
              </w:rPr>
              <w:t xml:space="preserve">½–1 Tag</w:t>
            </w:r>
          </w:p>
        </w:tc>
        <w:tc>
          <w:tcPr>
            <w:tcW w:type="dxa" w:w="1650"/>
            <w:tcBorders>
              <w:top w:val="single" w:color="B9C7CF" w:sz="4"/>
              <w:left w:val="none" w:color="FFFFFF" w:sz="0"/>
              <w:bottom w:val="single" w:color="B9C7CF" w:sz="4"/>
              <w:right w:val="none" w:color="FFFFFF" w:sz="0"/>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2F6F73"/>
                <w:sz w:val="16"/>
                <w:szCs w:val="16"/>
              </w:rPr>
              <w:t xml:space="preserve">● obligatorisch</w:t>
            </w:r>
          </w:p>
        </w:tc>
        <w:tc>
          <w:tcPr>
            <w:tcW w:type="dxa" w:w="105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1E3A5F"/>
                <w:sz w:val="17"/>
                <w:szCs w:val="17"/>
              </w:rPr>
              <w:t xml:space="preserve">M · K · V</w:t>
            </w:r>
          </w:p>
        </w:tc>
        <w:tc>
          <w:tcPr>
            <w:tcW w:type="dxa" w:w="2606"/>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2B2B2B"/>
                <w:sz w:val="18"/>
                <w:szCs w:val="18"/>
              </w:rPr>
              <w:t xml:space="preserve">Beobachten, fragen, mitanpacken</w:t>
            </w:r>
          </w:p>
        </w:tc>
      </w:tr>
      <w:tr>
        <w:trPr>
          <w:cantSplit/>
        </w:trPr>
        <w:tc>
          <w:tcPr>
            <w:tcW w:type="dxa" w:w="6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val="false"/>
                <w:bCs w:val="false"/>
                <w:color w:val="C86A2E"/>
                <w:sz w:val="18"/>
                <w:szCs w:val="18"/>
              </w:rPr>
              <w:t xml:space="preserve">2.8</w:t>
            </w:r>
          </w:p>
        </w:tc>
        <w:tc>
          <w:tcPr>
            <w:tcW w:type="dxa" w:w="32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bCs/>
                <w:color w:val="2B2B2B"/>
                <w:sz w:val="18"/>
                <w:szCs w:val="18"/>
              </w:rPr>
              <w:t xml:space="preserve">Präsentation &amp; Reflexion Betriebsbesuch</w:t>
            </w:r>
          </w:p>
        </w:tc>
        <w:tc>
          <w:tcPr>
            <w:tcW w:type="dxa" w:w="11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b w:val="false"/>
                <w:bCs w:val="false"/>
                <w:color w:val="2B2B2B"/>
                <w:sz w:val="18"/>
                <w:szCs w:val="18"/>
              </w:rPr>
              <w:t xml:space="preserve">145'</w:t>
            </w:r>
          </w:p>
        </w:tc>
        <w:tc>
          <w:tcPr>
            <w:tcW w:type="dxa" w:w="1650"/>
            <w:tcBorders>
              <w:top w:val="single" w:color="B9C7CF" w:sz="4"/>
              <w:left w:val="none" w:color="FFFFFF" w:sz="0"/>
              <w:bottom w:val="single" w:color="B9C7CF" w:sz="4"/>
              <w:right w:val="none" w:color="FFFFFF" w:sz="0"/>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2F6F73"/>
                <w:sz w:val="16"/>
                <w:szCs w:val="16"/>
              </w:rPr>
              <w:t xml:space="preserve">● obligatorisch</w:t>
            </w:r>
          </w:p>
        </w:tc>
        <w:tc>
          <w:tcPr>
            <w:tcW w:type="dxa" w:w="105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1E3A5F"/>
                <w:sz w:val="17"/>
                <w:szCs w:val="17"/>
              </w:rPr>
              <w:t xml:space="preserve">M · K · V</w:t>
            </w:r>
          </w:p>
        </w:tc>
        <w:tc>
          <w:tcPr>
            <w:tcW w:type="dxa" w:w="2606"/>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2B2B2B"/>
                <w:sz w:val="18"/>
                <w:szCs w:val="18"/>
              </w:rPr>
              <w:t xml:space="preserve">Reflexion, Poster und Ausstellung</w:t>
            </w:r>
          </w:p>
        </w:tc>
      </w:tr>
    </w:tbl>
    <w:p>
      <w:pPr>
        <w:spacing w:after="0" w:before="60"/>
      </w:pPr>
      <w:r>
        <w:rPr>
          <w:rFonts w:ascii="Arial" w:cs="Arial" w:eastAsia="Arial" w:hAnsi="Arial"/>
          <w:i/>
          <w:iCs/>
          <w:color w:val="6B6B6B"/>
          <w:sz w:val="17"/>
          <w:szCs w:val="17"/>
        </w:rPr>
        <w:t xml:space="preserve">Umfang: M = Minimalprogramm (rund 7 Lektionen), K = Kompaktprogramm (rund 10 Lektionen), V = Vollprogramm (rund 17 Lektionen), jeweils plus Besuchstag.</w:t>
      </w:r>
    </w:p>
    <w:p>
      <w:pPr>
        <w:keepNext/>
        <w:spacing w:after="100" w:before="260"/>
      </w:pPr>
      <w:r>
        <w:rPr>
          <w:rFonts w:ascii="Arial" w:cs="Arial" w:eastAsia="Arial" w:hAnsi="Arial"/>
          <w:b/>
          <w:bCs/>
          <w:color w:val="2F6F73"/>
          <w:sz w:val="26"/>
          <w:szCs w:val="26"/>
        </w:rPr>
        <w:t xml:space="preserve">Die 8 Fähigkeitsfenster</w:t>
      </w:r>
    </w:p>
    <w:p>
      <w:pPr>
        <w:spacing w:after="100" w:before="0"/>
      </w:pPr>
      <w:r>
        <w:rPr>
          <w:rFonts w:ascii="Arial" w:cs="Arial" w:eastAsia="Arial" w:hAnsi="Arial"/>
          <w:color w:val="2B2B2B"/>
          <w:sz w:val="20"/>
          <w:szCs w:val="20"/>
        </w:rPr>
        <w:t xml:space="preserve">Die Fähigkeitsfenster gehen auf Howard Gardners Theorie der multiplen Intelligenzen zurück. Mit den Kindern sprechen wir von Fähigkeitsfenstern. In Modul 1.3 wird Gardner einmal eingeführt.</w:t>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300"/>
        <w:gridCol w:w="3000"/>
        <w:gridCol w:w="4906"/>
      </w:tblGrid>
      <w:tr>
        <w:trPr>
          <w:cantSplit/>
          <w:tblHeader/>
        </w:trPr>
        <w:tc>
          <w:tcPr>
            <w:tcW w:type="dxa" w:w="2300"/>
            <w:tcBorders>
              <w:top w:val="none" w:color="FFFFFF" w:sz="0"/>
              <w:left w:val="none" w:color="FFFFFF" w:sz="0"/>
              <w:bottom w:val="none" w:color="FFFFFF" w:sz="0"/>
              <w:right w:val="none" w:color="FFFFFF" w:sz="0"/>
            </w:tcBorders>
            <w:shd w:fill="2F6F73" w:color="auto" w:val="clear"/>
            <w:tcMar>
              <w:top w:type="dxa" w:w="80"/>
              <w:left w:type="dxa" w:w="120"/>
              <w:bottom w:type="dxa" w:w="80"/>
              <w:right w:type="dxa" w:w="120"/>
            </w:tcMar>
            <w:vAlign w:val="top"/>
          </w:tcPr>
          <w:p>
            <w:pPr>
              <w:spacing w:after="0" w:before="0"/>
            </w:pPr>
            <w:r>
              <w:rPr>
                <w:rFonts w:ascii="Arial" w:cs="Arial" w:eastAsia="Arial" w:hAnsi="Arial"/>
                <w:b/>
                <w:bCs/>
                <w:color w:val="FFFFFF"/>
                <w:sz w:val="18"/>
                <w:szCs w:val="18"/>
              </w:rPr>
              <w:t xml:space="preserve">Fähigkeitsfenster</w:t>
            </w:r>
          </w:p>
        </w:tc>
        <w:tc>
          <w:tcPr>
            <w:tcW w:type="dxa" w:w="3000"/>
            <w:tcBorders>
              <w:top w:val="none" w:color="FFFFFF" w:sz="0"/>
              <w:left w:val="none" w:color="FFFFFF" w:sz="0"/>
              <w:bottom w:val="none" w:color="FFFFFF" w:sz="0"/>
              <w:right w:val="none" w:color="FFFFFF" w:sz="0"/>
            </w:tcBorders>
            <w:shd w:fill="2F6F73" w:color="auto" w:val="clear"/>
            <w:tcMar>
              <w:top w:type="dxa" w:w="80"/>
              <w:left w:type="dxa" w:w="120"/>
              <w:bottom w:type="dxa" w:w="80"/>
              <w:right w:type="dxa" w:w="120"/>
            </w:tcMar>
            <w:vAlign w:val="top"/>
          </w:tcPr>
          <w:p>
            <w:pPr>
              <w:spacing w:after="0" w:before="0"/>
            </w:pPr>
            <w:r>
              <w:rPr>
                <w:rFonts w:ascii="Arial" w:cs="Arial" w:eastAsia="Arial" w:hAnsi="Arial"/>
                <w:b/>
                <w:bCs/>
                <w:color w:val="FFFFFF"/>
                <w:sz w:val="18"/>
                <w:szCs w:val="18"/>
              </w:rPr>
              <w:t xml:space="preserve">Für Kinder</w:t>
            </w:r>
          </w:p>
        </w:tc>
        <w:tc>
          <w:tcPr>
            <w:tcW w:type="dxa" w:w="4906"/>
            <w:tcBorders>
              <w:top w:val="none" w:color="FFFFFF" w:sz="0"/>
              <w:left w:val="none" w:color="FFFFFF" w:sz="0"/>
              <w:bottom w:val="none" w:color="FFFFFF" w:sz="0"/>
              <w:right w:val="none" w:color="FFFFFF" w:sz="0"/>
            </w:tcBorders>
            <w:shd w:fill="2F6F73" w:color="auto" w:val="clear"/>
            <w:tcMar>
              <w:top w:type="dxa" w:w="80"/>
              <w:left w:type="dxa" w:w="120"/>
              <w:bottom w:type="dxa" w:w="80"/>
              <w:right w:type="dxa" w:w="120"/>
            </w:tcMar>
            <w:vAlign w:val="top"/>
          </w:tcPr>
          <w:p>
            <w:pPr>
              <w:spacing w:after="0" w:before="0"/>
            </w:pPr>
            <w:r>
              <w:rPr>
                <w:rFonts w:ascii="Arial" w:cs="Arial" w:eastAsia="Arial" w:hAnsi="Arial"/>
                <w:b/>
                <w:bCs/>
                <w:color w:val="FFFFFF"/>
                <w:sz w:val="18"/>
                <w:szCs w:val="18"/>
              </w:rPr>
              <w:t xml:space="preserve">Gardner-Bereich</w:t>
            </w:r>
          </w:p>
        </w:tc>
      </w:tr>
      <w:tr>
        <w:trPr>
          <w:cantSplit/>
        </w:trPr>
        <w:tc>
          <w:tcPr>
            <w:tcW w:type="dxa" w:w="2300"/>
            <w:tcBorders>
              <w:top w:val="single" w:color="B9C7CF" w:sz="4"/>
              <w:left w:val="none" w:color="FFFFFF" w:sz="0"/>
              <w:bottom w:val="single" w:color="B9C7CF" w:sz="4"/>
              <w:right w:val="none" w:color="FFFFFF" w:sz="0"/>
            </w:tcBorders>
            <w:shd w:fill="FCE5D3" w:color="auto" w:val="clear"/>
            <w:tcMar>
              <w:top w:type="dxa" w:w="50"/>
              <w:left w:type="dxa" w:w="120"/>
              <w:bottom w:type="dxa" w:w="50"/>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C86A2E"/>
                <w:sz w:val="18"/>
                <w:szCs w:val="18"/>
              </w:rPr>
              <w:t xml:space="preserve"> Sprache</w:t>
            </w:r>
          </w:p>
        </w:tc>
        <w:tc>
          <w:tcPr>
            <w:tcW w:type="dxa" w:w="30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2B2B2B"/>
                <w:sz w:val="18"/>
                <w:szCs w:val="18"/>
              </w:rPr>
              <w:t xml:space="preserve">Mit Sprache wirken</w:t>
            </w:r>
          </w:p>
        </w:tc>
        <w:tc>
          <w:tcPr>
            <w:tcW w:type="dxa" w:w="4906"/>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6B6B6B"/>
                <w:sz w:val="18"/>
                <w:szCs w:val="18"/>
              </w:rPr>
              <w:t xml:space="preserve">sprachlich-linguistisch</w:t>
            </w:r>
          </w:p>
        </w:tc>
      </w:tr>
      <w:tr>
        <w:trPr>
          <w:cantSplit/>
        </w:trPr>
        <w:tc>
          <w:tcPr>
            <w:tcW w:type="dxa" w:w="2300"/>
            <w:tcBorders>
              <w:top w:val="single" w:color="B9C7CF" w:sz="4"/>
              <w:left w:val="none" w:color="FFFFFF" w:sz="0"/>
              <w:bottom w:val="single" w:color="B9C7CF" w:sz="4"/>
              <w:right w:val="none" w:color="FFFFFF" w:sz="0"/>
            </w:tcBorders>
            <w:shd w:fill="DCEAEF" w:color="auto" w:val="clear"/>
            <w:tcMar>
              <w:top w:type="dxa" w:w="50"/>
              <w:left w:type="dxa" w:w="120"/>
              <w:bottom w:type="dxa" w:w="50"/>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3E7186"/>
                <w:sz w:val="18"/>
                <w:szCs w:val="18"/>
              </w:rPr>
              <w:t xml:space="preserve"> Knobeln</w:t>
            </w:r>
          </w:p>
        </w:tc>
        <w:tc>
          <w:tcPr>
            <w:tcW w:type="dxa" w:w="30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2B2B2B"/>
                <w:sz w:val="18"/>
                <w:szCs w:val="18"/>
              </w:rPr>
              <w:t xml:space="preserve">Knobeln und begründen</w:t>
            </w:r>
          </w:p>
        </w:tc>
        <w:tc>
          <w:tcPr>
            <w:tcW w:type="dxa" w:w="4906"/>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6B6B6B"/>
                <w:sz w:val="18"/>
                <w:szCs w:val="18"/>
              </w:rPr>
              <w:t xml:space="preserve">logisch-mathematisch</w:t>
            </w:r>
          </w:p>
        </w:tc>
      </w:tr>
      <w:tr>
        <w:trPr>
          <w:cantSplit/>
        </w:trPr>
        <w:tc>
          <w:tcPr>
            <w:tcW w:type="dxa" w:w="2300"/>
            <w:tcBorders>
              <w:top w:val="single" w:color="B9C7CF" w:sz="4"/>
              <w:left w:val="none" w:color="FFFFFF" w:sz="0"/>
              <w:bottom w:val="single" w:color="B9C7CF" w:sz="4"/>
              <w:right w:val="none" w:color="FFFFFF" w:sz="0"/>
            </w:tcBorders>
            <w:shd w:fill="E6E3F4" w:color="auto" w:val="clear"/>
            <w:tcMar>
              <w:top w:type="dxa" w:w="50"/>
              <w:left w:type="dxa" w:w="120"/>
              <w:bottom w:type="dxa" w:w="50"/>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6A5FA8"/>
                <w:sz w:val="18"/>
                <w:szCs w:val="18"/>
              </w:rPr>
              <w:t xml:space="preserve"> Raum &amp; Bild</w:t>
            </w:r>
          </w:p>
        </w:tc>
        <w:tc>
          <w:tcPr>
            <w:tcW w:type="dxa" w:w="30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2B2B2B"/>
                <w:sz w:val="18"/>
                <w:szCs w:val="18"/>
              </w:rPr>
              <w:t xml:space="preserve">In Räumen und Bildern denken</w:t>
            </w:r>
          </w:p>
        </w:tc>
        <w:tc>
          <w:tcPr>
            <w:tcW w:type="dxa" w:w="4906"/>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6B6B6B"/>
                <w:sz w:val="18"/>
                <w:szCs w:val="18"/>
              </w:rPr>
              <w:t xml:space="preserve">bildlich-räumlich</w:t>
            </w:r>
          </w:p>
        </w:tc>
      </w:tr>
      <w:tr>
        <w:trPr>
          <w:cantSplit/>
        </w:trPr>
        <w:tc>
          <w:tcPr>
            <w:tcW w:type="dxa" w:w="2300"/>
            <w:tcBorders>
              <w:top w:val="single" w:color="B9C7CF" w:sz="4"/>
              <w:left w:val="none" w:color="FFFFFF" w:sz="0"/>
              <w:bottom w:val="single" w:color="B9C7CF" w:sz="4"/>
              <w:right w:val="none" w:color="FFFFFF" w:sz="0"/>
            </w:tcBorders>
            <w:shd w:fill="F6DADD" w:color="auto" w:val="clear"/>
            <w:tcMar>
              <w:top w:type="dxa" w:w="50"/>
              <w:left w:type="dxa" w:w="120"/>
              <w:bottom w:type="dxa" w:w="50"/>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B23A48"/>
                <w:sz w:val="18"/>
                <w:szCs w:val="18"/>
              </w:rPr>
              <w:t xml:space="preserve"> Körper &amp; Hände</w:t>
            </w:r>
          </w:p>
        </w:tc>
        <w:tc>
          <w:tcPr>
            <w:tcW w:type="dxa" w:w="30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2B2B2B"/>
                <w:sz w:val="18"/>
                <w:szCs w:val="18"/>
              </w:rPr>
              <w:t xml:space="preserve">Mit Körper und Händen können</w:t>
            </w:r>
          </w:p>
        </w:tc>
        <w:tc>
          <w:tcPr>
            <w:tcW w:type="dxa" w:w="4906"/>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6B6B6B"/>
                <w:sz w:val="18"/>
                <w:szCs w:val="18"/>
              </w:rPr>
              <w:t xml:space="preserve">körperlich-kinästhetisch</w:t>
            </w:r>
          </w:p>
        </w:tc>
      </w:tr>
      <w:tr>
        <w:trPr>
          <w:cantSplit/>
        </w:trPr>
        <w:tc>
          <w:tcPr>
            <w:tcW w:type="dxa" w:w="2300"/>
            <w:tcBorders>
              <w:top w:val="single" w:color="B9C7CF" w:sz="4"/>
              <w:left w:val="none" w:color="FFFFFF" w:sz="0"/>
              <w:bottom w:val="single" w:color="B9C7CF" w:sz="4"/>
              <w:right w:val="none" w:color="FFFFFF" w:sz="0"/>
            </w:tcBorders>
            <w:shd w:fill="FBEFC2" w:color="auto" w:val="clear"/>
            <w:tcMar>
              <w:top w:type="dxa" w:w="50"/>
              <w:left w:type="dxa" w:w="120"/>
              <w:bottom w:type="dxa" w:w="50"/>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A07800"/>
                <w:sz w:val="18"/>
                <w:szCs w:val="18"/>
              </w:rPr>
              <w:t xml:space="preserve"> Klang &amp; Rhythmus</w:t>
            </w:r>
          </w:p>
        </w:tc>
        <w:tc>
          <w:tcPr>
            <w:tcW w:type="dxa" w:w="30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2B2B2B"/>
                <w:sz w:val="18"/>
                <w:szCs w:val="18"/>
              </w:rPr>
              <w:t xml:space="preserve">Klänge und Rhythmen gestalten</w:t>
            </w:r>
          </w:p>
        </w:tc>
        <w:tc>
          <w:tcPr>
            <w:tcW w:type="dxa" w:w="4906"/>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6B6B6B"/>
                <w:sz w:val="18"/>
                <w:szCs w:val="18"/>
              </w:rPr>
              <w:t xml:space="preserve">musikalisch-rhythmisch</w:t>
            </w:r>
          </w:p>
        </w:tc>
      </w:tr>
      <w:tr>
        <w:trPr>
          <w:cantSplit/>
        </w:trPr>
        <w:tc>
          <w:tcPr>
            <w:tcW w:type="dxa" w:w="2300"/>
            <w:tcBorders>
              <w:top w:val="single" w:color="B9C7CF" w:sz="4"/>
              <w:left w:val="none" w:color="FFFFFF" w:sz="0"/>
              <w:bottom w:val="single" w:color="B9C7CF" w:sz="4"/>
              <w:right w:val="none" w:color="FFFFFF" w:sz="0"/>
            </w:tcBorders>
            <w:shd w:fill="F5DDEB" w:color="auto" w:val="clear"/>
            <w:tcMar>
              <w:top w:type="dxa" w:w="50"/>
              <w:left w:type="dxa" w:w="120"/>
              <w:bottom w:type="dxa" w:w="50"/>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A8467E"/>
                <w:sz w:val="18"/>
                <w:szCs w:val="18"/>
              </w:rPr>
              <w:t xml:space="preserve"> Miteinander</w:t>
            </w:r>
          </w:p>
        </w:tc>
        <w:tc>
          <w:tcPr>
            <w:tcW w:type="dxa" w:w="30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2B2B2B"/>
                <w:sz w:val="18"/>
                <w:szCs w:val="18"/>
              </w:rPr>
              <w:t xml:space="preserve">Andere verstehen und zusammenarbeiten</w:t>
            </w:r>
          </w:p>
        </w:tc>
        <w:tc>
          <w:tcPr>
            <w:tcW w:type="dxa" w:w="4906"/>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6B6B6B"/>
                <w:sz w:val="18"/>
                <w:szCs w:val="18"/>
              </w:rPr>
              <w:t xml:space="preserve">interpersonal</w:t>
            </w:r>
          </w:p>
        </w:tc>
      </w:tr>
      <w:tr>
        <w:trPr>
          <w:cantSplit/>
        </w:trPr>
        <w:tc>
          <w:tcPr>
            <w:tcW w:type="dxa" w:w="2300"/>
            <w:tcBorders>
              <w:top w:val="single" w:color="B9C7CF" w:sz="4"/>
              <w:left w:val="none" w:color="FFFFFF" w:sz="0"/>
              <w:bottom w:val="single" w:color="B9C7CF" w:sz="4"/>
              <w:right w:val="none" w:color="FFFFFF" w:sz="0"/>
            </w:tcBorders>
            <w:shd w:fill="DCE2EC" w:color="auto" w:val="clear"/>
            <w:tcMar>
              <w:top w:type="dxa" w:w="50"/>
              <w:left w:type="dxa" w:w="120"/>
              <w:bottom w:type="dxa" w:w="50"/>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1E3A5F"/>
                <w:sz w:val="18"/>
                <w:szCs w:val="18"/>
              </w:rPr>
              <w:t xml:space="preserve"> Ich selbst</w:t>
            </w:r>
          </w:p>
        </w:tc>
        <w:tc>
          <w:tcPr>
            <w:tcW w:type="dxa" w:w="30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2B2B2B"/>
                <w:sz w:val="18"/>
                <w:szCs w:val="18"/>
              </w:rPr>
              <w:t xml:space="preserve">Mich verstehen und steuern</w:t>
            </w:r>
          </w:p>
        </w:tc>
        <w:tc>
          <w:tcPr>
            <w:tcW w:type="dxa" w:w="4906"/>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6B6B6B"/>
                <w:sz w:val="18"/>
                <w:szCs w:val="18"/>
              </w:rPr>
              <w:t xml:space="preserve">intrapersonal</w:t>
            </w:r>
          </w:p>
        </w:tc>
      </w:tr>
      <w:tr>
        <w:trPr>
          <w:cantSplit/>
        </w:trPr>
        <w:tc>
          <w:tcPr>
            <w:tcW w:type="dxa" w:w="2300"/>
            <w:tcBorders>
              <w:top w:val="single" w:color="B9C7CF" w:sz="4"/>
              <w:left w:val="none" w:color="FFFFFF" w:sz="0"/>
              <w:bottom w:val="single" w:color="B9C7CF" w:sz="4"/>
              <w:right w:val="none" w:color="FFFFFF" w:sz="0"/>
            </w:tcBorders>
            <w:shd w:fill="DCEDDF" w:color="auto" w:val="clear"/>
            <w:tcMar>
              <w:top w:type="dxa" w:w="50"/>
              <w:left w:type="dxa" w:w="120"/>
              <w:bottom w:type="dxa" w:w="50"/>
              <w:right w:type="dxa" w:w="120"/>
            </w:tcMar>
            <w:vAlign w:val="top"/>
          </w:tcPr>
          <w:p>
            <w:pPr>
              <w:spacing w:after="0" w:before="0"/>
            </w:pPr>
            <w:r>
              <w:drawing>
                <wp:inline distT="0" distB="0" distL="0" distR="0">
                  <wp:extent cx="123825"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23825" cy="123825"/>
                          </a:xfrm>
                          <a:prstGeom prst="rect">
                            <a:avLst/>
                          </a:prstGeom>
                        </pic:spPr>
                      </pic:pic>
                    </a:graphicData>
                  </a:graphic>
                </wp:inline>
              </w:drawing>
            </w:r>
            <w:r>
              <w:rPr>
                <w:rFonts w:ascii="Arial" w:cs="Arial" w:eastAsia="Arial" w:hAnsi="Arial"/>
                <w:b/>
                <w:bCs/>
                <w:color w:val="3F7F4E"/>
                <w:sz w:val="18"/>
                <w:szCs w:val="18"/>
              </w:rPr>
              <w:t xml:space="preserve"> Natur</w:t>
            </w:r>
          </w:p>
        </w:tc>
        <w:tc>
          <w:tcPr>
            <w:tcW w:type="dxa" w:w="3000"/>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2B2B2B"/>
                <w:sz w:val="18"/>
                <w:szCs w:val="18"/>
              </w:rPr>
              <w:t xml:space="preserve">Natur beobachten und ordnen</w:t>
            </w:r>
          </w:p>
        </w:tc>
        <w:tc>
          <w:tcPr>
            <w:tcW w:type="dxa" w:w="4906"/>
            <w:tcBorders>
              <w:top w:val="single" w:color="B9C7CF" w:sz="4"/>
              <w:left w:val="none" w:color="FFFFFF" w:sz="0"/>
              <w:bottom w:val="single" w:color="B9C7CF" w:sz="4"/>
              <w:right w:val="none" w:color="FFFFFF" w:sz="0"/>
            </w:tcBorders>
            <w:tcMar>
              <w:top w:type="dxa" w:w="50"/>
              <w:left w:type="dxa" w:w="120"/>
              <w:bottom w:type="dxa" w:w="50"/>
              <w:right w:type="dxa" w:w="120"/>
            </w:tcMar>
            <w:vAlign w:val="top"/>
          </w:tcPr>
          <w:p>
            <w:pPr>
              <w:spacing w:after="0" w:before="0"/>
            </w:pPr>
            <w:r>
              <w:rPr>
                <w:rFonts w:ascii="Arial" w:cs="Arial" w:eastAsia="Arial" w:hAnsi="Arial"/>
                <w:color w:val="6B6B6B"/>
                <w:sz w:val="18"/>
                <w:szCs w:val="18"/>
              </w:rPr>
              <w:t xml:space="preserve">naturalistisch</w:t>
            </w:r>
          </w:p>
        </w:tc>
      </w:tr>
    </w:tbl>
    <w:p>
      <w:pPr>
        <w:spacing w:after="80" w:before="0"/>
      </w:pPr>
      <w:r>
        <w:rPr>
          <w:rFonts w:ascii="Arial" w:cs="Arial" w:eastAsia="Arial" w:hAnsi="Arial"/>
          <w:color w:val="2B2B2B"/>
          <w:sz w:val="21"/>
          <w:szCs w:val="21"/>
        </w:rPr>
        <w:t xml:space="preserve"/>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6"/>
      </w:tblGrid>
      <w:tr>
        <w:trPr>
          <w:cantSplit/>
        </w:trPr>
        <w:tc>
          <w:tcPr>
            <w:tcW w:type="dxa" w:w="10206"/>
            <w:tcBorders>
              <w:top w:val="none" w:color="FFFFFF" w:sz="0"/>
              <w:left w:val="none" w:color="FFFFFF" w:sz="0"/>
              <w:bottom w:val="none" w:color="FFFFFF" w:sz="0"/>
              <w:right w:val="none" w:color="FFFFFF" w:sz="0"/>
            </w:tcBorders>
            <w:shd w:fill="F8F4EC" w:color="auto" w:val="clear"/>
            <w:tcMar>
              <w:top w:type="dxa" w:w="140"/>
              <w:left w:type="dxa" w:w="200"/>
              <w:bottom w:type="dxa" w:w="140"/>
              <w:right w:type="dxa" w:w="200"/>
            </w:tcMar>
            <w:vAlign w:val="top"/>
          </w:tcPr>
          <w:p>
            <w:pPr>
              <w:spacing w:after="60" w:before="0"/>
            </w:pPr>
            <w:r>
              <w:rPr>
                <w:rFonts w:ascii="Arial" w:cs="Arial" w:eastAsia="Arial" w:hAnsi="Arial"/>
                <w:b/>
                <w:bCs/>
                <w:color w:val="2F6F73"/>
                <w:sz w:val="20"/>
                <w:szCs w:val="20"/>
              </w:rPr>
              <w:t xml:space="preserve">Grundsätze</w:t>
            </w:r>
          </w:p>
          <w:p>
            <w:pPr>
              <w:spacing w:after="30" w:before="0"/>
            </w:pPr>
            <w:r>
              <w:rPr>
                <w:rFonts w:ascii="Arial" w:cs="Arial" w:eastAsia="Arial" w:hAnsi="Arial"/>
                <w:color w:val="2B2B2B"/>
                <w:sz w:val="18"/>
                <w:szCs w:val="18"/>
              </w:rPr>
              <w:t xml:space="preserve">• Die Intelligenzen dienen als Hilfe, um ressourcenorientiert über Fähigkeiten zu sprechen.</w:t>
            </w:r>
          </w:p>
          <w:p>
            <w:pPr>
              <w:spacing w:after="30" w:before="0"/>
            </w:pPr>
            <w:r>
              <w:rPr>
                <w:rFonts w:ascii="Arial" w:cs="Arial" w:eastAsia="Arial" w:hAnsi="Arial"/>
                <w:color w:val="2B2B2B"/>
                <w:sz w:val="18"/>
                <w:szCs w:val="18"/>
              </w:rPr>
              <w:t xml:space="preserve">• Eine Tätigkeit braucht oft mehrere Fähigkeitsfenster.</w:t>
            </w:r>
          </w:p>
          <w:p>
            <w:pPr>
              <w:spacing w:after="0" w:before="0"/>
            </w:pPr>
            <w:r>
              <w:rPr>
                <w:rFonts w:ascii="Arial" w:cs="Arial" w:eastAsia="Arial" w:hAnsi="Arial"/>
                <w:color w:val="2B2B2B"/>
                <w:sz w:val="18"/>
                <w:szCs w:val="18"/>
              </w:rPr>
              <w:t xml:space="preserve">• Dass Menschen unterschiedliche Fähigkeitsprofile haben, ist gut belegt. Ob es genau acht getrennte Intelligenzen sind, ist in der Forschung umstritten. Die Fähigkeitsfenster sind ein didaktisches Werkzeug.</w:t>
            </w:r>
          </w:p>
        </w:tc>
      </w:tr>
    </w:tbl>
    <w:p>
      <w:pPr>
        <w:keepNext/>
        <w:spacing w:after="100" w:before="260"/>
      </w:pPr>
      <w:r>
        <w:rPr>
          <w:rFonts w:ascii="Arial" w:cs="Arial" w:eastAsia="Arial" w:hAnsi="Arial"/>
          <w:b/>
          <w:bCs/>
          <w:color w:val="2F6F73"/>
          <w:sz w:val="26"/>
          <w:szCs w:val="26"/>
        </w:rPr>
        <w:t xml:space="preserve">Die Praxisfenster-Mappe</w:t>
      </w:r>
    </w:p>
    <w:p>
      <w:pPr>
        <w:spacing w:after="100" w:before="0"/>
      </w:pPr>
      <w:r>
        <w:rPr>
          <w:rFonts w:ascii="Arial" w:cs="Arial" w:eastAsia="Arial" w:hAnsi="Arial"/>
          <w:color w:val="2B2B2B"/>
          <w:sz w:val="20"/>
          <w:szCs w:val="20"/>
        </w:rPr>
        <w:t xml:space="preserve">Jedes Kind bekommt zu Beginn eine Mappe, zum Beispiel eine Sichtmappe oder einen Schnellhefter. Darin sammelt es alle Blätter des Praxisfensters: Schnipp-Schnapp, Laufblatt, Übersicht der Fähigkeitsfenster, Journalblätter, Logbuch und die Skizze für das Poster. Am Ende zeigt die Mappe, was das Kind über sich und die Arbeitswelt herausgefunden hat. Sie eignet sich für Elterngespräche und kann ins Portfolio oder in die Oberstufe mitgenommen werden.</w:t>
      </w:r>
    </w:p>
    <w:p>
      <w:pPr>
        <w:keepNext/>
        <w:spacing w:after="100" w:before="260"/>
      </w:pPr>
      <w:r>
        <w:rPr>
          <w:rFonts w:ascii="Arial" w:cs="Arial" w:eastAsia="Arial" w:hAnsi="Arial"/>
          <w:b/>
          <w:bCs/>
          <w:color w:val="2F6F73"/>
          <w:sz w:val="26"/>
          <w:szCs w:val="26"/>
        </w:rPr>
        <w:t xml:space="preserve">Zukunftstag oder anderer Betriebsbesuch?</w:t>
      </w:r>
    </w:p>
    <w:p>
      <w:pPr>
        <w:spacing w:after="100" w:before="0"/>
      </w:pPr>
      <w:r>
        <w:rPr>
          <w:rFonts w:ascii="Arial" w:cs="Arial" w:eastAsia="Arial" w:hAnsi="Arial"/>
          <w:color w:val="2B2B2B"/>
          <w:sz w:val="20"/>
          <w:szCs w:val="20"/>
        </w:rPr>
        <w:t xml:space="preserve">Beides funktioniert. Am Zukunftstag begleiten die Kinder eine Bezugsperson zur Arbeit; die Betreuung liegt bei ihr. Bei einem anderen Betriebsbesuch wählt die Schule Datum und Betriebe selbst, auch ein Halbtag oder ein gemeinsamer Besuch der ganzen Klasse ist möglich.</w:t>
      </w:r>
    </w:p>
    <w:p>
      <w:pPr>
        <w:keepNext/>
        <w:spacing w:after="100" w:before="260"/>
      </w:pPr>
      <w:r>
        <w:rPr>
          <w:rFonts w:ascii="Arial" w:cs="Arial" w:eastAsia="Arial" w:hAnsi="Arial"/>
          <w:b/>
          <w:bCs/>
          <w:color w:val="2F6F73"/>
          <w:sz w:val="26"/>
          <w:szCs w:val="26"/>
        </w:rPr>
        <w:t xml:space="preserve">Rollen</w:t>
      </w:r>
    </w:p>
    <w:p>
      <w:pPr>
        <w:pStyle w:val="ListParagraph"/>
        <w:numPr>
          <w:ilvl w:val="0"/>
          <w:numId w:val="2"/>
        </w:numPr>
        <w:spacing w:after="40" w:before="0"/>
      </w:pPr>
      <w:r>
        <w:rPr>
          <w:rFonts w:ascii="Arial" w:cs="Arial" w:eastAsia="Arial" w:hAnsi="Arial"/>
          <w:color w:val="2B2B2B"/>
          <w:sz w:val="19"/>
          <w:szCs w:val="19"/>
        </w:rPr>
        <w:t xml:space="preserve">Kinder: erkunden, beobachten, fragen, probieren aus und denken nach.</w:t>
      </w:r>
    </w:p>
    <w:p>
      <w:pPr>
        <w:pStyle w:val="ListParagraph"/>
        <w:numPr>
          <w:ilvl w:val="0"/>
          <w:numId w:val="2"/>
        </w:numPr>
        <w:spacing w:after="40" w:before="0"/>
      </w:pPr>
      <w:r>
        <w:rPr>
          <w:rFonts w:ascii="Arial" w:cs="Arial" w:eastAsia="Arial" w:hAnsi="Arial"/>
          <w:color w:val="2B2B2B"/>
          <w:sz w:val="19"/>
          <w:szCs w:val="19"/>
        </w:rPr>
        <w:t xml:space="preserve">Lehrperson: schafft den Rahmen, begleitet Lernweg und Austausch, ist am Besuchstag erreichbar.</w:t>
      </w:r>
    </w:p>
    <w:p>
      <w:pPr>
        <w:pStyle w:val="ListParagraph"/>
        <w:numPr>
          <w:ilvl w:val="0"/>
          <w:numId w:val="2"/>
        </w:numPr>
        <w:spacing w:after="40" w:before="0"/>
      </w:pPr>
      <w:r>
        <w:rPr>
          <w:rFonts w:ascii="Arial" w:cs="Arial" w:eastAsia="Arial" w:hAnsi="Arial"/>
          <w:color w:val="2B2B2B"/>
          <w:sz w:val="19"/>
          <w:szCs w:val="19"/>
        </w:rPr>
        <w:t xml:space="preserve">Eltern und Bezugspersonen: unterstützen bei Journalen zu Hause, Betriebssuche und Reflexion.</w:t>
      </w:r>
    </w:p>
    <w:p>
      <w:pPr>
        <w:pStyle w:val="ListParagraph"/>
        <w:numPr>
          <w:ilvl w:val="0"/>
          <w:numId w:val="2"/>
        </w:numPr>
        <w:spacing w:after="40" w:before="0"/>
      </w:pPr>
      <w:r>
        <w:rPr>
          <w:rFonts w:ascii="Arial" w:cs="Arial" w:eastAsia="Arial" w:hAnsi="Arial"/>
          <w:color w:val="2B2B2B"/>
          <w:sz w:val="19"/>
          <w:szCs w:val="19"/>
        </w:rPr>
        <w:t xml:space="preserve">Betriebe: öffnen ihre Tore für interessierte Schüler:innen und haben eine Ansprechperson, welche die Arbeit mit jungen Menschen schätzt.</w:t>
      </w:r>
    </w:p>
    <w:p>
      <w:pPr>
        <w:keepNext/>
        <w:spacing w:after="100" w:before="260"/>
      </w:pPr>
      <w:r>
        <w:rPr>
          <w:rFonts w:ascii="Arial" w:cs="Arial" w:eastAsia="Arial" w:hAnsi="Arial"/>
          <w:b/>
          <w:bCs/>
          <w:color w:val="2F6F73"/>
          <w:sz w:val="26"/>
          <w:szCs w:val="26"/>
        </w:rPr>
        <w:t xml:space="preserve">Umfang und Durchführung</w:t>
      </w:r>
    </w:p>
    <w:p>
      <w:pPr>
        <w:spacing w:after="60" w:before="0"/>
      </w:pPr>
      <w:r>
        <w:rPr>
          <w:rFonts w:ascii="Arial" w:cs="Arial" w:eastAsia="Arial" w:hAnsi="Arial"/>
          <w:color w:val="2B2B2B"/>
          <w:sz w:val="20"/>
          <w:szCs w:val="20"/>
        </w:rPr>
        <w:t xml:space="preserve">Sie wählen zuerst den Umfang und dann die Durchführung. Daraus ergeben sich sechs Zeitpläne. Auf der Website rechnet der Zeitplan die Daten ab Ihrem Besuchstag aus.</w:t>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00"/>
        <w:gridCol w:w="4500"/>
        <w:gridCol w:w="3706"/>
      </w:tblGrid>
      <w:tr>
        <w:trPr>
          <w:cantSplit/>
          <w:tblHeader/>
        </w:trPr>
        <w:tc>
          <w:tcPr>
            <w:tcW w:type="dxa" w:w="2000"/>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Umfang</w:t>
            </w:r>
          </w:p>
        </w:tc>
        <w:tc>
          <w:tcPr>
            <w:tcW w:type="dxa" w:w="4500"/>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So geht es</w:t>
            </w:r>
          </w:p>
        </w:tc>
        <w:tc>
          <w:tcPr>
            <w:tcW w:type="dxa" w:w="3706"/>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Passt, wenn …</w:t>
            </w:r>
          </w:p>
        </w:tc>
      </w:tr>
      <w:tr>
        <w:trPr>
          <w:cantSplit/>
        </w:trPr>
        <w:tc>
          <w:tcPr>
            <w:tcW w:type="dxa" w:w="20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Minimalprogramm</w:t>
            </w:r>
          </w:p>
        </w:tc>
        <w:tc>
          <w:tcPr>
            <w:tcW w:type="dxa" w:w="45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Die sechs wichtigsten Module: 1.2, 1.3, 2.2, 2.6, 2.7 und 2.8. Rund 7 Lektionen plus Besuchstag. Funktioniert nur, wenn alle Kinder schon einen Betrieb haben.</w:t>
            </w:r>
          </w:p>
        </w:tc>
        <w:tc>
          <w:tcPr>
            <w:tcW w:type="dxa" w:w="37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 die Betriebe schon feststehen und wenig Zeit zur Verfügung steht.</w:t>
            </w:r>
          </w:p>
        </w:tc>
      </w:tr>
      <w:tr>
        <w:trPr>
          <w:cantSplit/>
        </w:trPr>
        <w:tc>
          <w:tcPr>
            <w:tcW w:type="dxa" w:w="20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Kompaktprogramm</w:t>
            </w:r>
          </w:p>
        </w:tc>
        <w:tc>
          <w:tcPr>
            <w:tcW w:type="dxa" w:w="45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Alle obligatorischen Module und 4 Journal-Aufträge. Rund 10 Lektionen plus Besuchstag.</w:t>
            </w:r>
          </w:p>
        </w:tc>
        <w:tc>
          <w:tcPr>
            <w:tcW w:type="dxa" w:w="37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 eine gute, pragmatische Lösung gesucht wird, die nicht zu zeitintensiv ist und den Betriebsbesuch gut vor- und nachbereitet.</w:t>
            </w:r>
          </w:p>
        </w:tc>
      </w:tr>
      <w:tr>
        <w:trPr>
          <w:cantSplit/>
        </w:trPr>
        <w:tc>
          <w:tcPr>
            <w:tcW w:type="dxa" w:w="20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Vollprogramm</w:t>
            </w:r>
          </w:p>
        </w:tc>
        <w:tc>
          <w:tcPr>
            <w:tcW w:type="dxa" w:w="45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Alle 13 Module und alle 8 Journal-Aufträge. Rund 17 Lektionen plus Besuchstag.</w:t>
            </w:r>
          </w:p>
        </w:tc>
        <w:tc>
          <w:tcPr>
            <w:tcW w:type="dxa" w:w="37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 an den Fähigkeiten gearbeitet wird, die Kinder sich selbst kennenlernen und der Betriebsbesuch optimal vor- und nachbereitet wird. Die Journal-Aufträge sind regelmässig und gezielt in den Unterricht eingebettet.</w:t>
            </w:r>
          </w:p>
        </w:tc>
      </w:tr>
    </w:tbl>
    <w:p>
      <w:pPr>
        <w:spacing w:after="80" w:before="0"/>
      </w:pPr>
      <w:r>
        <w:rPr>
          <w:rFonts w:ascii="Arial" w:cs="Arial" w:eastAsia="Arial" w:hAnsi="Arial"/>
          <w:color w:val="2B2B2B"/>
          <w:sz w:val="21"/>
          <w:szCs w:val="21"/>
        </w:rPr>
        <w:t xml:space="preserve"/>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00"/>
        <w:gridCol w:w="4500"/>
        <w:gridCol w:w="3706"/>
      </w:tblGrid>
      <w:tr>
        <w:trPr>
          <w:cantSplit/>
          <w:tblHeader/>
        </w:trPr>
        <w:tc>
          <w:tcPr>
            <w:tcW w:type="dxa" w:w="2000"/>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Durchführung</w:t>
            </w:r>
          </w:p>
        </w:tc>
        <w:tc>
          <w:tcPr>
            <w:tcW w:type="dxa" w:w="4500"/>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So geht es</w:t>
            </w:r>
          </w:p>
        </w:tc>
        <w:tc>
          <w:tcPr>
            <w:tcW w:type="dxa" w:w="3706"/>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Passt, wenn …</w:t>
            </w:r>
          </w:p>
        </w:tc>
      </w:tr>
      <w:tr>
        <w:trPr>
          <w:cantSplit/>
        </w:trPr>
        <w:tc>
          <w:tcPr>
            <w:tcW w:type="dxa" w:w="20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Verteilt über 4 bis 8 Wochen</w:t>
            </w:r>
          </w:p>
        </w:tc>
        <w:tc>
          <w:tcPr>
            <w:tcW w:type="dxa" w:w="45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Die Module verteilen sich auf die Wochen vor dem Besuch, die Nachbereitung folgt in der Woche danach. Das Minimalprogramm braucht etwa 4 Wochen, das Kompaktprogramm 6 und das Vollprogramm 8.</w:t>
            </w:r>
          </w:p>
        </w:tc>
        <w:tc>
          <w:tcPr>
            <w:tcW w:type="dxa" w:w="37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 das Praxisfenster regelmässig im Unterricht Platz hat, zum Beispiel in den NMG-Lektionen.</w:t>
            </w:r>
          </w:p>
        </w:tc>
      </w:tr>
      <w:tr>
        <w:trPr>
          <w:cantSplit/>
        </w:trPr>
        <w:tc>
          <w:tcPr>
            <w:tcW w:type="dxa" w:w="20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Projektwoche</w:t>
            </w:r>
          </w:p>
        </w:tc>
        <w:tc>
          <w:tcPr>
            <w:tcW w:type="dxa" w:w="45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Alle Module in einer Woche, der Besuchstag liegt in dieser Woche. Die Journal-Aufträge und 1.4 «Mein Vorbild» können danach folgen.</w:t>
            </w:r>
          </w:p>
        </w:tc>
        <w:tc>
          <w:tcPr>
            <w:tcW w:type="dxa" w:w="37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 die Umsetzung als Projektwoche erfolgen soll, allenfalls auch in Zusammenarbeit mit anderen Lehrpersonen im Team. Wichtig ist, dass die Betriebe schon vorher gefunden sind.</w:t>
            </w:r>
          </w:p>
        </w:tc>
      </w:tr>
    </w:tbl>
    <w:p>
      <w:pPr>
        <w:spacing w:after="0" w:before="60"/>
      </w:pPr>
      <w:r>
        <w:rPr>
          <w:rFonts w:ascii="Arial" w:cs="Arial" w:eastAsia="Arial" w:hAnsi="Arial"/>
          <w:i/>
          <w:iCs/>
          <w:color w:val="6B6B6B"/>
          <w:sz w:val="17"/>
          <w:szCs w:val="17"/>
        </w:rPr>
        <w:t xml:space="preserve">Nationaler Zukunftstag: jedes Jahr am zweiten Donnerstag im November (2026: 12. November), für die 5. bis 7. Klasse.</w:t>
      </w:r>
    </w:p>
    <w:p>
      <w:pPr>
        <w:keepNext/>
        <w:pageBreakBefore/>
        <w:spacing w:after="100" w:before="0"/>
      </w:pPr>
      <w:r>
        <w:rPr>
          <w:rFonts w:ascii="Arial" w:cs="Arial" w:eastAsia="Arial" w:hAnsi="Arial"/>
          <w:b/>
          <w:bCs/>
          <w:color w:val="2F6F73"/>
          <w:sz w:val="26"/>
          <w:szCs w:val="26"/>
        </w:rPr>
        <w:t xml:space="preserve">Die sechs Zeitpläne</w:t>
      </w:r>
    </w:p>
    <w:p>
      <w:pPr>
        <w:spacing w:after="60" w:before="0"/>
      </w:pPr>
      <w:r>
        <w:rPr>
          <w:rFonts w:ascii="Arial" w:cs="Arial" w:eastAsia="Arial" w:hAnsi="Arial"/>
          <w:color w:val="2B2B2B"/>
          <w:sz w:val="20"/>
          <w:szCs w:val="20"/>
        </w:rPr>
        <w:t xml:space="preserve">Wochen zählen ab dem Besuchstag. In der Projektwoche liegt der Besuchstag in der Woche; beim Zukunftstag (Donnerstag) sind Tag 1 bis 3 Montag bis Mittwoch und Tag 5 der Freitag.</w:t>
      </w:r>
    </w:p>
    <w:p>
      <w:pPr>
        <w:keepNext/>
        <w:spacing w:after="60" w:before="160"/>
      </w:pPr>
      <w:r>
        <w:rPr>
          <w:rFonts w:ascii="Arial" w:cs="Arial" w:eastAsia="Arial" w:hAnsi="Arial"/>
          <w:b/>
          <w:bCs/>
          <w:color w:val="1E3A5F"/>
          <w:sz w:val="21"/>
          <w:szCs w:val="21"/>
        </w:rPr>
        <w:t xml:space="preserve">Minimalprogramm, verteilt über 4 Wochen</w:t>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00"/>
        <w:gridCol w:w="8306"/>
      </w:tblGrid>
      <w:tr>
        <w:trPr>
          <w:cantSplit/>
          <w:tblHeader/>
        </w:trPr>
        <w:tc>
          <w:tcPr>
            <w:tcW w:type="dxa" w:w="1900"/>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Wann</w:t>
            </w:r>
          </w:p>
        </w:tc>
        <w:tc>
          <w:tcPr>
            <w:tcW w:type="dxa" w:w="8306"/>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Was</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4 Wochen vorher</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1.2 Was mag ich Karten (25') · 1.3 Intelligenzen (25') · Prüfen, ob alle Kinder einen Betrieb und die Einwilligung der Eltern haben · Besuchsdatum festlegen, Schulleitung informieren · Pro Kind eine Praxisfenster-Mappe bereitstellen</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3 Wochen vorher</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2.2 Betriebstypen (30')</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2 Wochen vorher</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Infoblatt an die Betriebe schicken</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1 Woche vorher</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2.6 Praktisches Betriebsbesuch, Eigene Rolle, Avatar &amp; Lernfrage (90'): mit kurzer Einführung in den Betriebs-Check · Am Vortag Logbuch-Check, Notfallnummern bereit</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Besuchstag</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2.7 Betriebsbesuch: ganzer oder halber Tag im Betrieb · Erreichbar sein · Programm für Kinder ohne Betriebsplatz</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1 Woche danach</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2.8 Präsentation &amp; Reflexion Betriebsbesuch (145') · Eltern und Betriebe zur Ausstellung einladen (freiwillig)</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Danach</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1.5 Journal-Aufträge: Journal-Aufträge sind freiwillig auch nach dem Besuch möglich</w:t>
            </w:r>
          </w:p>
        </w:tc>
      </w:tr>
    </w:tbl>
    <w:p>
      <w:pPr>
        <w:spacing w:after="0" w:before="60"/>
      </w:pPr>
      <w:r>
        <w:rPr>
          <w:rFonts w:ascii="Arial" w:cs="Arial" w:eastAsia="Arial" w:hAnsi="Arial"/>
          <w:i/>
          <w:iCs/>
          <w:color w:val="6B6B6B"/>
          <w:sz w:val="17"/>
          <w:szCs w:val="17"/>
        </w:rPr>
        <w:t xml:space="preserve">Rund 7 Lektionen (315 Minuten) plus Besuchstag. Das Minimalprogramm funktioniert nur, wenn alle Kinder schon einen Betrieb haben.</w:t>
      </w:r>
    </w:p>
    <w:p>
      <w:pPr>
        <w:keepNext/>
        <w:spacing w:after="60" w:before="160"/>
      </w:pPr>
      <w:r>
        <w:rPr>
          <w:rFonts w:ascii="Arial" w:cs="Arial" w:eastAsia="Arial" w:hAnsi="Arial"/>
          <w:b/>
          <w:bCs/>
          <w:color w:val="1E3A5F"/>
          <w:sz w:val="21"/>
          <w:szCs w:val="21"/>
        </w:rPr>
        <w:t xml:space="preserve">Minimalprogramm als Projektwoche</w:t>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00"/>
        <w:gridCol w:w="8306"/>
      </w:tblGrid>
      <w:tr>
        <w:trPr>
          <w:cantSplit/>
          <w:tblHeader/>
        </w:trPr>
        <w:tc>
          <w:tcPr>
            <w:tcW w:type="dxa" w:w="1900"/>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Wann</w:t>
            </w:r>
          </w:p>
        </w:tc>
        <w:tc>
          <w:tcPr>
            <w:tcW w:type="dxa" w:w="8306"/>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Was</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3–4 Wochen vorher</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Prüfen, ob alle Kinder einen Betrieb haben · Elternbrief mit Anmeldetalon (Einwilligung) verschicken · Schulleitung informieren</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Woche davor</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Talons einsammeln, Übersichtsliste vollständig · Infoblatt an die Betriebe schicken · Pro Kind eine Praxisfenster-Mappe bereitstellen</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Tag 1</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1.2 Was mag ich Karten (25') · 1.3 Intelligenzen (25')</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Tag 2</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2.2 Betriebstypen (30')</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Tag 3</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2.6 Praktisches Betriebsbesuch, Eigene Rolle, Avatar &amp; Lernfrage (90'): mit kurzer Einführung in den Betriebs-Check · Logbuch-Check, Notfallnummern bereit</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Besuchstag</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2.7 Betriebsbesuch: ganzer oder halber Tag im Betrieb · Erreichbar sein</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Tag 5</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2.8 Präsentation &amp; Reflexion Betriebsbesuch (145'): Reflexion, Poster und Ausstellung · Eltern und Betriebe zur Ausstellung einladen (freiwillig)</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In den Wochen danach</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1.5 Journal-Aufträge: Journal-Aufträge sind freiwillig auch nach dem Besuch möglich</w:t>
            </w:r>
          </w:p>
        </w:tc>
      </w:tr>
    </w:tbl>
    <w:p>
      <w:pPr>
        <w:spacing w:after="0" w:before="60"/>
      </w:pPr>
      <w:r>
        <w:rPr>
          <w:rFonts w:ascii="Arial" w:cs="Arial" w:eastAsia="Arial" w:hAnsi="Arial"/>
          <w:i/>
          <w:iCs/>
          <w:color w:val="6B6B6B"/>
          <w:sz w:val="17"/>
          <w:szCs w:val="17"/>
        </w:rPr>
        <w:t xml:space="preserve">Rund 7 Lektionen (315 Minuten), alle in der Projektwoche, plus Besuchstag. Die Tage zählen in Schultagen ab dem Besuchstag. Beim Zukunftstag (Donnerstag) sind das Montag bis Freitag. Die Betriebe müssen vor der Projektwoche feststehen. Das Minimalprogramm funktioniert nur, wenn alle Kinder schon einen Betrieb haben.</w:t>
      </w:r>
    </w:p>
    <w:p>
      <w:pPr>
        <w:keepNext/>
        <w:spacing w:after="60" w:before="160"/>
      </w:pPr>
      <w:r>
        <w:rPr>
          <w:rFonts w:ascii="Arial" w:cs="Arial" w:eastAsia="Arial" w:hAnsi="Arial"/>
          <w:b/>
          <w:bCs/>
          <w:color w:val="1E3A5F"/>
          <w:sz w:val="21"/>
          <w:szCs w:val="21"/>
        </w:rPr>
        <w:t xml:space="preserve">Kompaktprogramm, verteilt über 6 Wochen</w:t>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00"/>
        <w:gridCol w:w="8306"/>
      </w:tblGrid>
      <w:tr>
        <w:trPr>
          <w:cantSplit/>
          <w:tblHeader/>
        </w:trPr>
        <w:tc>
          <w:tcPr>
            <w:tcW w:type="dxa" w:w="1900"/>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Wann</w:t>
            </w:r>
          </w:p>
        </w:tc>
        <w:tc>
          <w:tcPr>
            <w:tcW w:type="dxa" w:w="8306"/>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Was</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6 Wochen vorher</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1.2 Was mag ich Karten (25') · 1.3 Intelligenzen (25') · 2.3 Betriebssuche: Elternbrief und Anmeldetalon verschicken · Besuchsdatum festlegen, Schulleitung informieren · Pro Kind eine Praxisfenster-Mappe bereitstellen</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5 Wochen vorher</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1.5 Journal-Aufträge (20'): Journal 1 · 2.1 Beispielbetrieb Schule (20') · 2.2 Betriebstypen (30')</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4 Wochen vorher</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1.5 Journal-Aufträge (20'): Journal 2 · 2.3 Betriebssuche (30'): Lektion «Anfrage schreiben» für Kinder, die selbst anfragen · Kinder ohne Betrieb unterstützen</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3 Wochen vorher</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1.5 Journal-Aufträge (20'): Journal 3 · Talons einsammeln, Übersichtsliste nachführen</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2 Wochen vorher</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1.5 Journal-Aufträge (20'): Journal 4 · Infoblatt an die Betriebe schicken</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1 Woche vorher</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2.6 Praktisches Betriebsbesuch, Eigene Rolle, Avatar &amp; Lernfrage (90') · Am Vortag Logbuch-Check, Notfallnummern bereit</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Besuchstag</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2.7 Betriebsbesuch: ganzer oder halber Tag im Betrieb · Erreichbar sein · Programm für Kinder ohne Betriebsplatz</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1 Woche danach</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2.8 Präsentation &amp; Reflexion Betriebsbesuch (145') · Eltern und Betriebe zur Ausstellung einladen (freiwillig)</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Danach</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1.5 Journal-Aufträge: Journal-Aufträge 5–8 und das Praxisfenster-Journal (freiwillig)</w:t>
            </w:r>
          </w:p>
        </w:tc>
      </w:tr>
    </w:tbl>
    <w:p>
      <w:pPr>
        <w:spacing w:after="0" w:before="60"/>
      </w:pPr>
      <w:r>
        <w:rPr>
          <w:rFonts w:ascii="Arial" w:cs="Arial" w:eastAsia="Arial" w:hAnsi="Arial"/>
          <w:i/>
          <w:iCs/>
          <w:color w:val="6B6B6B"/>
          <w:sz w:val="17"/>
          <w:szCs w:val="17"/>
        </w:rPr>
        <w:t xml:space="preserve">Rund 10 Lektionen (445 Minuten) plus Besuchstag.</w:t>
      </w:r>
    </w:p>
    <w:p>
      <w:pPr>
        <w:keepNext/>
        <w:spacing w:after="60" w:before="160"/>
      </w:pPr>
      <w:r>
        <w:rPr>
          <w:rFonts w:ascii="Arial" w:cs="Arial" w:eastAsia="Arial" w:hAnsi="Arial"/>
          <w:b/>
          <w:bCs/>
          <w:color w:val="1E3A5F"/>
          <w:sz w:val="21"/>
          <w:szCs w:val="21"/>
        </w:rPr>
        <w:t xml:space="preserve">Kompaktprogramm als Projektwoche</w:t>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00"/>
        <w:gridCol w:w="8306"/>
      </w:tblGrid>
      <w:tr>
        <w:trPr>
          <w:cantSplit/>
          <w:tblHeader/>
        </w:trPr>
        <w:tc>
          <w:tcPr>
            <w:tcW w:type="dxa" w:w="1900"/>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Wann</w:t>
            </w:r>
          </w:p>
        </w:tc>
        <w:tc>
          <w:tcPr>
            <w:tcW w:type="dxa" w:w="8306"/>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Was</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3–4 Wochen vorher</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2.3 Betriebssuche: Elternbrief und Anmeldetalon verschicken · Besuchsdatum festlegen, Schulleitung informieren · Programm für Kinder ohne Betriebsplatz planen (Manual 2.7)</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Woche davor</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2.3 Betriebssuche (30'): bei Bedarf Lektion «Anfrage schreiben» für einzelne Kinder · Talons einsammeln, Übersichtsliste vollständig · Infoblatt an die Betriebe schicken · Pro Kind eine Praxisfenster-Mappe bereitstellen</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Tag 1</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1.2 Was mag ich Karten (25') · 1.3 Intelligenzen (25') · 1.5 Journal-Aufträge (20'): Journal 1</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Tag 2</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2.1 Beispielbetrieb Schule (20') · 2.2 Betriebstypen (30') · 1.5 Journal-Aufträge (20'): Journal 2</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Tag 3</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2.6 Praktisches Betriebsbesuch, Eigene Rolle, Avatar &amp; Lernfrage (90') · Logbuch-Check, Notfallnummern bereit</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Besuchstag</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2.7 Betriebsbesuch: ganzer oder halber Tag im Betrieb · Erreichbar sein</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Tag 5</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2.8 Präsentation &amp; Reflexion Betriebsbesuch (145'): Reflexion, Poster und Ausstellung · Eltern und Betriebe zur Ausstellung einladen (freiwillig)</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In den Wochen danach</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1.5 Journal-Aufträge (40'): Journal 3 und 4, danach weiter im Praxisfenster-Journal</w:t>
            </w:r>
          </w:p>
        </w:tc>
      </w:tr>
    </w:tbl>
    <w:p>
      <w:pPr>
        <w:spacing w:after="0" w:before="60"/>
      </w:pPr>
      <w:r>
        <w:rPr>
          <w:rFonts w:ascii="Arial" w:cs="Arial" w:eastAsia="Arial" w:hAnsi="Arial"/>
          <w:i/>
          <w:iCs/>
          <w:color w:val="6B6B6B"/>
          <w:sz w:val="17"/>
          <w:szCs w:val="17"/>
        </w:rPr>
        <w:t xml:space="preserve">In der Woche rund 8 Lektionen (375 Minuten), insgesamt rund 10 Lektionen plus Besuchstag. Die Tage zählen in Schultagen ab dem Besuchstag. Beim Zukunftstag (Donnerstag) sind das Montag bis Freitag. Die Betriebe müssen vor der Projektwoche feststehen.</w:t>
      </w:r>
    </w:p>
    <w:p>
      <w:pPr>
        <w:keepNext/>
        <w:spacing w:after="60" w:before="160"/>
      </w:pPr>
      <w:r>
        <w:rPr>
          <w:rFonts w:ascii="Arial" w:cs="Arial" w:eastAsia="Arial" w:hAnsi="Arial"/>
          <w:b/>
          <w:bCs/>
          <w:color w:val="1E3A5F"/>
          <w:sz w:val="21"/>
          <w:szCs w:val="21"/>
        </w:rPr>
        <w:t xml:space="preserve">Vollprogramm, verteilt über 8 Wochen</w:t>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00"/>
        <w:gridCol w:w="8306"/>
      </w:tblGrid>
      <w:tr>
        <w:trPr>
          <w:cantSplit/>
          <w:tblHeader/>
        </w:trPr>
        <w:tc>
          <w:tcPr>
            <w:tcW w:type="dxa" w:w="1900"/>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Wann</w:t>
            </w:r>
          </w:p>
        </w:tc>
        <w:tc>
          <w:tcPr>
            <w:tcW w:type="dxa" w:w="8306"/>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Was</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8 Wochen vorher</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1.1 Tätigkeiten Schnipp-Schnapp (25') · 1.2 Was mag ich Karten (25') · 1.3 Intelligenzen (25') · Besuchsdatum festlegen, Schulleitung informieren · Pro Kind eine Praxisfenster-Mappe bereitstellen</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7 Wochen vorher</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1.4 Mein Vorbild (75') · 1.5 Journal-Aufträge (20'): Journal 1</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6 Wochen vorher</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1.5 Journal-Aufträge (20'): Journal 2 · 2.3 Betriebssuche: Elternbrief und Anmeldetalon verschicken</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5 Wochen vorher</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1.5 Journal-Aufträge (20'): Journal 3 · 2.1 Beispielbetrieb Schule (20') · 2.2 Betriebstypen (30')</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4 Wochen vorher</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1.5 Journal-Aufträge (20'): Journal 4 · 2.3 Betriebssuche (30'): Lektion «Anfrage schreiben» für Kinder, die selbst anfragen · Kinder ohne Betrieb unterstützen</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3 Wochen vorher</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1.5 Journal-Aufträge (20'): Journal 5 · 2.4 Betriebserarbeitung mit Karton / Lego etc. und Präsentation (90') · Talons einsammeln, Übersichtsliste nachführen</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2 Wochen vorher</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1.5 Journal-Aufträge (20'): Journal 6 · 2.5 Bewerbungsprofil erstellen und Casting (30') · Infoblatt an die Betriebe schicken</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1 Woche vorher</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1.5 Journal-Aufträge (20'): Journal 7 · 2.6 Praktisches Betriebsbesuch, Eigene Rolle, Avatar &amp; Lernfrage (90') · Am Vortag Logbuch-Check, Notfallnummern bereit</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Besuchstag</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2.7 Betriebsbesuch: ganzer oder halber Tag im Betrieb · Erreichbar sein · Programm für Kinder ohne Betriebsplatz</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1 Woche danach</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2.8 Präsentation &amp; Reflexion Betriebsbesuch (145') · 1.5 Journal-Aufträge (20'): Journal 8 · Eltern und Betriebe zur Ausstellung einladen (freiwillig)</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Danach</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1.5 Journal-Aufträge: weiter im Praxisfenster-Journal (freiwillig)</w:t>
            </w:r>
          </w:p>
        </w:tc>
      </w:tr>
    </w:tbl>
    <w:p>
      <w:pPr>
        <w:spacing w:after="0" w:before="60"/>
      </w:pPr>
      <w:r>
        <w:rPr>
          <w:rFonts w:ascii="Arial" w:cs="Arial" w:eastAsia="Arial" w:hAnsi="Arial"/>
          <w:i/>
          <w:iCs/>
          <w:color w:val="6B6B6B"/>
          <w:sz w:val="17"/>
          <w:szCs w:val="17"/>
        </w:rPr>
        <w:t xml:space="preserve">Rund 17 Lektionen (745 Minuten) plus Besuchstag.</w:t>
      </w:r>
    </w:p>
    <w:p>
      <w:pPr>
        <w:keepNext/>
        <w:spacing w:after="60" w:before="160"/>
      </w:pPr>
      <w:r>
        <w:rPr>
          <w:rFonts w:ascii="Arial" w:cs="Arial" w:eastAsia="Arial" w:hAnsi="Arial"/>
          <w:b/>
          <w:bCs/>
          <w:color w:val="1E3A5F"/>
          <w:sz w:val="21"/>
          <w:szCs w:val="21"/>
        </w:rPr>
        <w:t xml:space="preserve">Vollprogramm als Projektwoche</w:t>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00"/>
        <w:gridCol w:w="8306"/>
      </w:tblGrid>
      <w:tr>
        <w:trPr>
          <w:cantSplit/>
          <w:tblHeader/>
        </w:trPr>
        <w:tc>
          <w:tcPr>
            <w:tcW w:type="dxa" w:w="1900"/>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Wann</w:t>
            </w:r>
          </w:p>
        </w:tc>
        <w:tc>
          <w:tcPr>
            <w:tcW w:type="dxa" w:w="8306"/>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Was</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3–4 Wochen vorher</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2.3 Betriebssuche: Elternbrief und Anmeldetalon verschicken · Besuchsdatum festlegen, Schulleitung informieren · Programm für Kinder ohne Betriebsplatz planen (Manual 2.7)</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Woche davor</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2.3 Betriebssuche (30'): bei Bedarf Lektion «Anfrage schreiben» für einzelne Kinder · Talons einsammeln, Übersichtsliste vollständig · Infoblatt an die Betriebe schicken · Karton und Lego für 2.4 sammeln · Pro Kind eine Praxisfenster-Mappe bereitstellen</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Tag 1</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1.1 Tätigkeiten Schnipp-Schnapp (25') · 1.2 Was mag ich Karten (25') · 1.3 Intelligenzen (25') · 1.5 Journal-Aufträge (20'): Journal 1</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Tag 2</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2.1 Beispielbetrieb Schule (20') · 2.2 Betriebstypen (30') · 2.4 Betriebserarbeitung mit Karton / Lego etc. und Präsentation (90') · 1.5 Journal-Aufträge (20'): Journal 2</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Tag 3</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2.5 Bewerbungsprofil erstellen und Casting (30') · 2.6 Praktisches Betriebsbesuch, Eigene Rolle, Avatar &amp; Lernfrage (90') · Logbuch-Check, Notfallnummern bereit</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Besuchstag</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2.7 Betriebsbesuch: ganzer oder halber Tag im Betrieb · Erreichbar sein</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Tag 5</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2.8 Präsentation &amp; Reflexion Betriebsbesuch (145'): Reflexion, Poster und Ausstellung · Eltern und Betriebe zur Ausstellung einladen (freiwillig)</w:t>
            </w:r>
          </w:p>
        </w:tc>
      </w:tr>
      <w:tr>
        <w:trPr>
          <w:cantSplit/>
        </w:trPr>
        <w:tc>
          <w:tcPr>
            <w:tcW w:type="dxa" w:w="19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In den Wochen danach</w:t>
            </w:r>
          </w:p>
        </w:tc>
        <w:tc>
          <w:tcPr>
            <w:tcW w:type="dxa" w:w="83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1.4 Mein Vorbild (75'): passt gut nach dem Besuch · 1.5 Journal-Aufträge (120'): Journal 3–8, danach weiter im Praxisfenster-Journal</w:t>
            </w:r>
          </w:p>
        </w:tc>
      </w:tr>
    </w:tbl>
    <w:p>
      <w:pPr>
        <w:spacing w:after="0" w:before="60"/>
      </w:pPr>
      <w:r>
        <w:rPr>
          <w:rFonts w:ascii="Arial" w:cs="Arial" w:eastAsia="Arial" w:hAnsi="Arial"/>
          <w:i/>
          <w:iCs/>
          <w:color w:val="6B6B6B"/>
          <w:sz w:val="17"/>
          <w:szCs w:val="17"/>
        </w:rPr>
        <w:t xml:space="preserve">In der Woche rund 12 Lektionen (520 Minuten), insgesamt rund 17 Lektionen plus Besuchstag. Die Tage zählen in Schultagen ab dem Besuchstag. Beim Zukunftstag (Donnerstag) sind das Montag bis Freitag. Die Betriebe müssen vor der Projektwoche feststehen.</w:t>
      </w:r>
    </w:p>
    <w:p>
      <w:pPr>
        <w:keepNext/>
        <w:spacing w:after="100" w:before="260"/>
      </w:pPr>
      <w:r>
        <w:rPr>
          <w:rFonts w:ascii="Arial" w:cs="Arial" w:eastAsia="Arial" w:hAnsi="Arial"/>
          <w:b/>
          <w:bCs/>
          <w:color w:val="2F6F73"/>
          <w:sz w:val="26"/>
          <w:szCs w:val="26"/>
        </w:rPr>
        <w:t xml:space="preserve">Langfristig: das Praxisfenster-Journal</w:t>
      </w:r>
    </w:p>
    <w:p>
      <w:pPr>
        <w:spacing w:after="60" w:before="0"/>
      </w:pPr>
      <w:r>
        <w:rPr>
          <w:rFonts w:ascii="Arial" w:cs="Arial" w:eastAsia="Arial" w:hAnsi="Arial"/>
          <w:color w:val="2B2B2B"/>
          <w:sz w:val="20"/>
          <w:szCs w:val="20"/>
        </w:rPr>
        <w:t xml:space="preserve">Die Journal-Aufträge müssen nicht mit dem Besuch enden. Im Praxisfenster-Journal arbeiten die Kinder bis Ende 6. Klasse weiter an ihren Fähigkeiten: alle zwei Wochen ein Auftrag, zweimal pro Jahr ein kurzer Rückblick. Mit dem Stufenwechsel endet es. In der Oberstufe beginnt die Berufswahl.</w:t>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4100"/>
        <w:gridCol w:w="2000"/>
        <w:gridCol w:w="1406"/>
      </w:tblGrid>
      <w:tr>
        <w:trPr>
          <w:cantSplit/>
          <w:tblHeader/>
        </w:trPr>
        <w:tc>
          <w:tcPr>
            <w:tcW w:type="dxa" w:w="2700"/>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Runde</w:t>
            </w:r>
          </w:p>
        </w:tc>
        <w:tc>
          <w:tcPr>
            <w:tcW w:type="dxa" w:w="4100"/>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Inhalt</w:t>
            </w:r>
          </w:p>
        </w:tc>
        <w:tc>
          <w:tcPr>
            <w:tcW w:type="dxa" w:w="2000"/>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Zeitraum</w:t>
            </w:r>
          </w:p>
        </w:tc>
        <w:tc>
          <w:tcPr>
            <w:tcW w:type="dxa" w:w="1406"/>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Stand</w:t>
            </w:r>
          </w:p>
        </w:tc>
      </w:tr>
      <w:tr>
        <w:trPr>
          <w:cantSplit/>
        </w:trPr>
        <w:tc>
          <w:tcPr>
            <w:tcW w:type="dxa" w:w="27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1 · Alle Fähigkeitsfenster kennenlernen</w:t>
            </w:r>
          </w:p>
        </w:tc>
        <w:tc>
          <w:tcPr>
            <w:tcW w:type="dxa" w:w="41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die 8 Journal-Aufträge aus Modul 1.5</w:t>
            </w:r>
          </w:p>
        </w:tc>
        <w:tc>
          <w:tcPr>
            <w:tcW w:type="dxa" w:w="20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rund um den Besuch</w:t>
            </w:r>
          </w:p>
        </w:tc>
        <w:tc>
          <w:tcPr>
            <w:tcW w:type="dxa" w:w="14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verfügbar</w:t>
            </w:r>
          </w:p>
        </w:tc>
      </w:tr>
      <w:tr>
        <w:trPr>
          <w:cantSplit/>
        </w:trPr>
        <w:tc>
          <w:tcPr>
            <w:tcW w:type="dxa" w:w="27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2 · Fähigkeitsfenster im Alltag</w:t>
            </w:r>
          </w:p>
        </w:tc>
        <w:tc>
          <w:tcPr>
            <w:tcW w:type="dxa" w:w="41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Wo brauche ich meine Fähigkeiten zu Hause, im Verein, in der Freizeit?</w:t>
            </w:r>
          </w:p>
        </w:tc>
        <w:tc>
          <w:tcPr>
            <w:tcW w:type="dxa" w:w="20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5. Klasse, Frühling</w:t>
            </w:r>
          </w:p>
        </w:tc>
        <w:tc>
          <w:tcPr>
            <w:tcW w:type="dxa" w:w="14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in Entwicklung</w:t>
            </w:r>
          </w:p>
        </w:tc>
      </w:tr>
      <w:tr>
        <w:trPr>
          <w:cantSplit/>
        </w:trPr>
        <w:tc>
          <w:tcPr>
            <w:tcW w:type="dxa" w:w="27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3 · Fähigkeitsfenster in Berufen</w:t>
            </w:r>
          </w:p>
        </w:tc>
        <w:tc>
          <w:tcPr>
            <w:tcW w:type="dxa" w:w="41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Berufe beobachten und befragen, verbunden mit dem zweiten Zukunftstag</w:t>
            </w:r>
          </w:p>
        </w:tc>
        <w:tc>
          <w:tcPr>
            <w:tcW w:type="dxa" w:w="20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6. Klasse, Herbst</w:t>
            </w:r>
          </w:p>
        </w:tc>
        <w:tc>
          <w:tcPr>
            <w:tcW w:type="dxa" w:w="14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in Entwicklung</w:t>
            </w:r>
          </w:p>
        </w:tc>
      </w:tr>
      <w:tr>
        <w:trPr>
          <w:cantSplit/>
        </w:trPr>
        <w:tc>
          <w:tcPr>
            <w:tcW w:type="dxa" w:w="27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4 · Mein Praxisfenster-Pass</w:t>
            </w:r>
          </w:p>
        </w:tc>
        <w:tc>
          <w:tcPr>
            <w:tcW w:type="dxa" w:w="41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Profil, Lieblingstätigkeiten und Fragen für die Berufswahl, zum Mitnehmen in die Oberstufe</w:t>
            </w:r>
          </w:p>
        </w:tc>
        <w:tc>
          <w:tcPr>
            <w:tcW w:type="dxa" w:w="20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6. Klasse, Frühling</w:t>
            </w:r>
          </w:p>
        </w:tc>
        <w:tc>
          <w:tcPr>
            <w:tcW w:type="dxa" w:w="14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in Entwicklung</w:t>
            </w:r>
          </w:p>
        </w:tc>
      </w:tr>
    </w:tbl>
    <w:p>
      <w:pPr>
        <w:keepNext/>
        <w:spacing w:after="100" w:before="260"/>
      </w:pPr>
      <w:r>
        <w:rPr>
          <w:rFonts w:ascii="Arial" w:cs="Arial" w:eastAsia="Arial" w:hAnsi="Arial"/>
          <w:b/>
          <w:bCs/>
          <w:color w:val="2F6F73"/>
          <w:sz w:val="26"/>
          <w:szCs w:val="26"/>
        </w:rPr>
        <w:t xml:space="preserve">Lehrplan 21 (Kanton Zürich)</w:t>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00"/>
        <w:gridCol w:w="8006"/>
      </w:tblGrid>
      <w:tr>
        <w:trPr>
          <w:cantSplit/>
          <w:tblHeader/>
        </w:trPr>
        <w:tc>
          <w:tcPr>
            <w:tcW w:type="dxa" w:w="2200"/>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Teil</w:t>
            </w:r>
          </w:p>
        </w:tc>
        <w:tc>
          <w:tcPr>
            <w:tcW w:type="dxa" w:w="8006"/>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NMG-Kompetenzen</w:t>
            </w:r>
          </w:p>
        </w:tc>
      </w:tr>
      <w:tr>
        <w:trPr>
          <w:cantSplit/>
        </w:trPr>
        <w:tc>
          <w:tcPr>
            <w:tcW w:type="dxa" w:w="22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Ich im Zentrum</w:t>
            </w:r>
          </w:p>
        </w:tc>
        <w:tc>
          <w:tcPr>
            <w:tcW w:type="dxa" w:w="80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NMG.1.1c Fähigkeiten erkunden und sich selber charakterisieren · NMG.1.1e Vorstellungen für die Zukunft entwickeln · NMG.11.1b Umgang mit Erfolg und Niederlage · NMG.6.2c Interessen für Berufe</w:t>
            </w:r>
          </w:p>
        </w:tc>
      </w:tr>
      <w:tr>
        <w:trPr>
          <w:cantSplit/>
        </w:trPr>
        <w:tc>
          <w:tcPr>
            <w:tcW w:type="dxa" w:w="22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Ich im Betrieb</w:t>
            </w:r>
          </w:p>
        </w:tc>
        <w:tc>
          <w:tcPr>
            <w:tcW w:type="dxa" w:w="80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NMG.6.2c/d/e Berufswelten erkunden, Berufsleute befragen, Berufe vergleichen · NMG.6.3f Betriebe erkunden und Abläufe dokumentieren · NMG.6.1e Arbeitsformen erkunden · NMG.6.4g/h Handel, wirtschaftliche Zusammenhänge · NMG.10.3c/d öffentliche Institutionen · NMG.10.4a Entscheidungsfindung</w:t>
            </w:r>
          </w:p>
        </w:tc>
      </w:tr>
    </w:tbl>
    <w:p>
      <w:pPr>
        <w:spacing w:after="0" w:before="60"/>
      </w:pPr>
      <w:r>
        <w:rPr>
          <w:rFonts w:ascii="Arial" w:cs="Arial" w:eastAsia="Arial" w:hAnsi="Arial"/>
          <w:i/>
          <w:iCs/>
          <w:color w:val="6B6B6B"/>
          <w:sz w:val="17"/>
          <w:szCs w:val="17"/>
        </w:rPr>
        <w:t xml:space="preserve">Dazu überfachliche Kompetenzen (Selbstreflexion, Kooperation, Informationen nutzen) und Deutsch (Sprechen, Schreiben). Details pro Modul im Master-Sheet.</w:t>
      </w:r>
    </w:p>
    <w:p>
      <w:pPr>
        <w:keepNext/>
        <w:spacing w:after="100" w:before="260"/>
      </w:pPr>
      <w:r>
        <w:rPr>
          <w:rFonts w:ascii="Arial" w:cs="Arial" w:eastAsia="Arial" w:hAnsi="Arial"/>
          <w:b/>
          <w:bCs/>
          <w:color w:val="2F6F73"/>
          <w:sz w:val="26"/>
          <w:szCs w:val="26"/>
        </w:rPr>
        <w:t xml:space="preserve">Material im Überblick</w:t>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00"/>
        <w:gridCol w:w="8706"/>
      </w:tblGrid>
      <w:tr>
        <w:trPr>
          <w:cantSplit/>
          <w:tblHeader/>
        </w:trPr>
        <w:tc>
          <w:tcPr>
            <w:tcW w:type="dxa" w:w="1500"/>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Modul</w:t>
            </w:r>
          </w:p>
        </w:tc>
        <w:tc>
          <w:tcPr>
            <w:tcW w:type="dxa" w:w="8706"/>
            <w:tcBorders>
              <w:top w:val="single" w:color="B9C7CF" w:sz="4"/>
              <w:left w:val="single" w:color="B9C7CF" w:sz="4"/>
              <w:bottom w:val="single" w:color="B9C7CF" w:sz="4"/>
              <w:right w:val="single" w:color="B9C7CF" w:sz="4"/>
            </w:tcBorders>
            <w:shd w:fill="E1ECEC" w:color="auto" w:val="clear"/>
            <w:tcMar>
              <w:top w:type="dxa" w:w="50"/>
              <w:left w:type="dxa" w:w="120"/>
              <w:bottom w:type="dxa" w:w="50"/>
              <w:right w:type="dxa" w:w="120"/>
            </w:tcMar>
            <w:vAlign w:val="top"/>
          </w:tcPr>
          <w:p>
            <w:pPr>
              <w:spacing w:after="0" w:before="0"/>
            </w:pPr>
            <w:r>
              <w:rPr>
                <w:rFonts w:ascii="Arial" w:cs="Arial" w:eastAsia="Arial" w:hAnsi="Arial"/>
                <w:b/>
                <w:bCs/>
                <w:color w:val="1E3A5F"/>
                <w:sz w:val="17"/>
                <w:szCs w:val="17"/>
              </w:rPr>
              <w:t xml:space="preserve">Unterlagen (Dateinamen beginnen mit PF_ und der Modulnummer)</w:t>
            </w:r>
          </w:p>
        </w:tc>
      </w:tr>
      <w:tr>
        <w:trPr>
          <w:cantSplit/>
        </w:trPr>
        <w:tc>
          <w:tcPr>
            <w:tcW w:type="dxa" w:w="15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Übergreifend</w:t>
            </w:r>
          </w:p>
        </w:tc>
        <w:tc>
          <w:tcPr>
            <w:tcW w:type="dxa" w:w="87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Master-Sheet (Übersicht), Fähigkeitsfenster-Übersicht (A4/A3), Vorlagen für Arbeitsblatt und Detailplanung</w:t>
            </w:r>
          </w:p>
        </w:tc>
      </w:tr>
      <w:tr>
        <w:trPr>
          <w:cantSplit/>
        </w:trPr>
        <w:tc>
          <w:tcPr>
            <w:tcW w:type="dxa" w:w="15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1.1</w:t>
            </w:r>
          </w:p>
        </w:tc>
        <w:tc>
          <w:tcPr>
            <w:tcW w:type="dxa" w:w="87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Schnipp-Schnapp (A3), Detailplanung, Folien</w:t>
            </w:r>
          </w:p>
        </w:tc>
      </w:tr>
      <w:tr>
        <w:trPr>
          <w:cantSplit/>
        </w:trPr>
        <w:tc>
          <w:tcPr>
            <w:tcW w:type="dxa" w:w="15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1.2</w:t>
            </w:r>
          </w:p>
        </w:tc>
        <w:tc>
          <w:tcPr>
            <w:tcW w:type="dxa" w:w="87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16 Tätigkeitskarten (PDF und Word), Laufblatt 1.2/1.3, Detailplanung, Folien</w:t>
            </w:r>
          </w:p>
        </w:tc>
      </w:tr>
      <w:tr>
        <w:trPr>
          <w:cantSplit/>
        </w:trPr>
        <w:tc>
          <w:tcPr>
            <w:tcW w:type="dxa" w:w="15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1.3</w:t>
            </w:r>
          </w:p>
        </w:tc>
        <w:tc>
          <w:tcPr>
            <w:tcW w:type="dxa" w:w="87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Fähigkeitsfenster-Kärtchen, Detailplanung, Folien</w:t>
            </w:r>
          </w:p>
        </w:tc>
      </w:tr>
      <w:tr>
        <w:trPr>
          <w:cantSplit/>
        </w:trPr>
        <w:tc>
          <w:tcPr>
            <w:tcW w:type="dxa" w:w="15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1.4</w:t>
            </w:r>
          </w:p>
        </w:tc>
        <w:tc>
          <w:tcPr>
            <w:tcW w:type="dxa" w:w="87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Arbeitsblatt «Ihr Lernweg» mit ausgefülltem Beispiel, drei Kurzporträts, Vorbilder-Liste, Be a Picasso, Detailplanung, Folien</w:t>
            </w:r>
          </w:p>
        </w:tc>
      </w:tr>
      <w:tr>
        <w:trPr>
          <w:cantSplit/>
        </w:trPr>
        <w:tc>
          <w:tcPr>
            <w:tcW w:type="dxa" w:w="15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1.5</w:t>
            </w:r>
          </w:p>
        </w:tc>
        <w:tc>
          <w:tcPr>
            <w:tcW w:type="dxa" w:w="87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8 Journal-Aufträge, Detailplanung, Folien</w:t>
            </w:r>
          </w:p>
        </w:tc>
      </w:tr>
      <w:tr>
        <w:trPr>
          <w:cantSplit/>
        </w:trPr>
        <w:tc>
          <w:tcPr>
            <w:tcW w:type="dxa" w:w="15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2.1</w:t>
            </w:r>
          </w:p>
        </w:tc>
        <w:tc>
          <w:tcPr>
            <w:tcW w:type="dxa" w:w="87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Betriebs-Check, Detailplanung, Folien</w:t>
            </w:r>
          </w:p>
        </w:tc>
      </w:tr>
      <w:tr>
        <w:trPr>
          <w:cantSplit/>
        </w:trPr>
        <w:tc>
          <w:tcPr>
            <w:tcW w:type="dxa" w:w="15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2.2</w:t>
            </w:r>
          </w:p>
        </w:tc>
        <w:tc>
          <w:tcPr>
            <w:tcW w:type="dxa" w:w="87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Schilder für die Ecken (A4), Karte «Mein Betrieb», Detailplanung, Folien</w:t>
            </w:r>
          </w:p>
        </w:tc>
      </w:tr>
      <w:tr>
        <w:trPr>
          <w:cantSplit/>
        </w:trPr>
        <w:tc>
          <w:tcPr>
            <w:tcW w:type="dxa" w:w="15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2.3</w:t>
            </w:r>
          </w:p>
        </w:tc>
        <w:tc>
          <w:tcPr>
            <w:tcW w:type="dxa" w:w="87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Elternbrief, Anmeldetalon, Muster-Mail, Infoblatt für Betriebe, Merkblatt Rechtliches, Übersichtsliste, Detailplanung, Folien</w:t>
            </w:r>
          </w:p>
        </w:tc>
      </w:tr>
      <w:tr>
        <w:trPr>
          <w:cantSplit/>
        </w:trPr>
        <w:tc>
          <w:tcPr>
            <w:tcW w:type="dxa" w:w="15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2.4</w:t>
            </w:r>
          </w:p>
        </w:tc>
        <w:tc>
          <w:tcPr>
            <w:tcW w:type="dxa" w:w="87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Gruppenauftrag, «Ein Tag im Betrieb», Personas, Detailplanung, Folien</w:t>
            </w:r>
          </w:p>
        </w:tc>
      </w:tr>
      <w:tr>
        <w:trPr>
          <w:cantSplit/>
        </w:trPr>
        <w:tc>
          <w:tcPr>
            <w:tcW w:type="dxa" w:w="15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2.5</w:t>
            </w:r>
          </w:p>
        </w:tc>
        <w:tc>
          <w:tcPr>
            <w:tcW w:type="dxa" w:w="87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Bewerbungskarten (12 Paare), «Wen stellen wir ein?», Detailplanung, Folien</w:t>
            </w:r>
          </w:p>
        </w:tc>
      </w:tr>
      <w:tr>
        <w:trPr>
          <w:cantSplit/>
        </w:trPr>
        <w:tc>
          <w:tcPr>
            <w:tcW w:type="dxa" w:w="15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2.6</w:t>
            </w:r>
          </w:p>
        </w:tc>
        <w:tc>
          <w:tcPr>
            <w:tcW w:type="dxa" w:w="87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Explorer:innen-Logbuch, Detailplanung, Folien</w:t>
            </w:r>
          </w:p>
        </w:tc>
      </w:tr>
      <w:tr>
        <w:trPr>
          <w:cantSplit/>
        </w:trPr>
        <w:tc>
          <w:tcPr>
            <w:tcW w:type="dxa" w:w="15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2.7</w:t>
            </w:r>
          </w:p>
        </w:tc>
        <w:tc>
          <w:tcPr>
            <w:tcW w:type="dxa" w:w="87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Manual für Lehrpersonen</w:t>
            </w:r>
          </w:p>
        </w:tc>
      </w:tr>
      <w:tr>
        <w:trPr>
          <w:cantSplit/>
        </w:trPr>
        <w:tc>
          <w:tcPr>
            <w:tcW w:type="dxa" w:w="1500"/>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2.8</w:t>
            </w:r>
          </w:p>
        </w:tc>
        <w:tc>
          <w:tcPr>
            <w:tcW w:type="dxa" w:w="8706"/>
            <w:tcBorders>
              <w:top w:val="single" w:color="B9C7CF" w:sz="4"/>
              <w:left w:val="single" w:color="B9C7CF" w:sz="4"/>
              <w:bottom w:val="single" w:color="B9C7CF" w:sz="4"/>
              <w:right w:val="single" w:color="B9C7CF" w:sz="4"/>
            </w:tcBorders>
            <w:tcMar>
              <w:top w:type="dxa" w:w="40"/>
              <w:left w:type="dxa" w:w="120"/>
              <w:bottom w:type="dxa" w:w="40"/>
              <w:right w:type="dxa" w:w="120"/>
            </w:tcMar>
            <w:vAlign w:val="top"/>
          </w:tcPr>
          <w:p>
            <w:pPr>
              <w:spacing w:after="0" w:before="0"/>
            </w:pPr>
            <w:r>
              <w:rPr>
                <w:rFonts w:ascii="Arial" w:cs="Arial" w:eastAsia="Arial" w:hAnsi="Arial"/>
                <w:color w:val="2B2B2B"/>
                <w:sz w:val="17"/>
                <w:szCs w:val="17"/>
              </w:rPr>
              <w:t xml:space="preserve">Auftrag «Mein Poster» mit Feedback-Karten, Detailplanung mit Beispielpostern, Folien</w:t>
            </w:r>
          </w:p>
        </w:tc>
      </w:tr>
    </w:tbl>
    <w:p>
      <w:pPr>
        <w:spacing w:after="60" w:before="0"/>
      </w:pPr>
      <w:r>
        <w:rPr>
          <w:rFonts w:ascii="Arial" w:cs="Arial" w:eastAsia="Arial" w:hAnsi="Arial"/>
          <w:color w:val="2B2B2B"/>
          <w:sz w:val="21"/>
          <w:szCs w:val="21"/>
        </w:rPr>
        <w:t xml:space="preserve"/>
      </w:r>
    </w:p>
    <w:p>
      <w:pPr>
        <w:spacing w:after="60" w:before="0"/>
      </w:pPr>
      <w:r>
        <w:rPr>
          <w:rFonts w:ascii="Arial" w:cs="Arial" w:eastAsia="Arial" w:hAnsi="Arial"/>
          <w:color w:val="2B2B2B"/>
          <w:sz w:val="20"/>
          <w:szCs w:val="20"/>
        </w:rPr>
        <w:t xml:space="preserve">Arbeitsblätter und Planungen gibt es als Word (bearbeitbar, auch in Google Docs) und als PDF. Die Folien gibt es als PowerPoint und PDF. In den Folien lassen sich die Antworten der Klasse direkt eintippen.</w:t>
      </w:r>
    </w:p>
    <w:p>
      <w:pPr>
        <w:keepNext/>
        <w:spacing w:after="100" w:before="260"/>
      </w:pPr>
      <w:r>
        <w:rPr>
          <w:rFonts w:ascii="Arial" w:cs="Arial" w:eastAsia="Arial" w:hAnsi="Arial"/>
          <w:b/>
          <w:bCs/>
          <w:color w:val="2F6F73"/>
          <w:sz w:val="26"/>
          <w:szCs w:val="26"/>
        </w:rPr>
        <w:t xml:space="preserve">Checkliste für den Start</w:t>
      </w:r>
    </w:p>
    <w:p>
      <w:pPr>
        <w:spacing w:after="50" w:before="0"/>
      </w:pPr>
      <w:r>
        <w:rPr>
          <w:rFonts w:ascii="Arial" w:cs="Arial" w:eastAsia="Arial" w:hAnsi="Arial"/>
          <w:color w:val="2F6F73"/>
          <w:sz w:val="20"/>
          <w:szCs w:val="20"/>
        </w:rPr>
        <w:t xml:space="preserve">□  </w:t>
      </w:r>
      <w:r>
        <w:rPr>
          <w:rFonts w:ascii="Arial" w:cs="Arial" w:eastAsia="Arial" w:hAnsi="Arial"/>
          <w:color w:val="2B2B2B"/>
          <w:sz w:val="19"/>
          <w:szCs w:val="19"/>
        </w:rPr>
        <w:t xml:space="preserve">Besuchsdatum festlegen: Nationaler Zukunftstag oder ein eigenes Datum</w:t>
      </w:r>
    </w:p>
    <w:p>
      <w:pPr>
        <w:spacing w:after="50" w:before="0"/>
      </w:pPr>
      <w:r>
        <w:rPr>
          <w:rFonts w:ascii="Arial" w:cs="Arial" w:eastAsia="Arial" w:hAnsi="Arial"/>
          <w:color w:val="2F6F73"/>
          <w:sz w:val="20"/>
          <w:szCs w:val="20"/>
        </w:rPr>
        <w:t xml:space="preserve">□  </w:t>
      </w:r>
      <w:r>
        <w:rPr>
          <w:rFonts w:ascii="Arial" w:cs="Arial" w:eastAsia="Arial" w:hAnsi="Arial"/>
          <w:color w:val="2B2B2B"/>
          <w:sz w:val="19"/>
          <w:szCs w:val="19"/>
        </w:rPr>
        <w:t xml:space="preserve">Schulleitung informieren und das Merkblatt Rechtliches (2.3) gemeinsam prüfen</w:t>
      </w:r>
    </w:p>
    <w:p>
      <w:pPr>
        <w:spacing w:after="50" w:before="0"/>
      </w:pPr>
      <w:r>
        <w:rPr>
          <w:rFonts w:ascii="Arial" w:cs="Arial" w:eastAsia="Arial" w:hAnsi="Arial"/>
          <w:color w:val="2F6F73"/>
          <w:sz w:val="20"/>
          <w:szCs w:val="20"/>
        </w:rPr>
        <w:t xml:space="preserve">□  </w:t>
      </w:r>
      <w:r>
        <w:rPr>
          <w:rFonts w:ascii="Arial" w:cs="Arial" w:eastAsia="Arial" w:hAnsi="Arial"/>
          <w:color w:val="2B2B2B"/>
          <w:sz w:val="19"/>
          <w:szCs w:val="19"/>
        </w:rPr>
        <w:t xml:space="preserve">Umfang und Durchführung wählen (Minimal, Kompakt oder Voll, verteilt oder als Projektwoche)</w:t>
      </w:r>
    </w:p>
    <w:p>
      <w:pPr>
        <w:spacing w:after="50" w:before="0"/>
      </w:pPr>
      <w:r>
        <w:rPr>
          <w:rFonts w:ascii="Arial" w:cs="Arial" w:eastAsia="Arial" w:hAnsi="Arial"/>
          <w:color w:val="2F6F73"/>
          <w:sz w:val="20"/>
          <w:szCs w:val="20"/>
        </w:rPr>
        <w:t xml:space="preserve">□  </w:t>
      </w:r>
      <w:r>
        <w:rPr>
          <w:rFonts w:ascii="Arial" w:cs="Arial" w:eastAsia="Arial" w:hAnsi="Arial"/>
          <w:color w:val="2B2B2B"/>
          <w:sz w:val="19"/>
          <w:szCs w:val="19"/>
        </w:rPr>
        <w:t xml:space="preserve">Fahrplan in den Jahresplan eintragen</w:t>
      </w:r>
    </w:p>
    <w:p>
      <w:pPr>
        <w:spacing w:after="50" w:before="0"/>
      </w:pPr>
      <w:r>
        <w:rPr>
          <w:rFonts w:ascii="Arial" w:cs="Arial" w:eastAsia="Arial" w:hAnsi="Arial"/>
          <w:color w:val="2F6F73"/>
          <w:sz w:val="20"/>
          <w:szCs w:val="20"/>
        </w:rPr>
        <w:t xml:space="preserve">□  </w:t>
      </w:r>
      <w:r>
        <w:rPr>
          <w:rFonts w:ascii="Arial" w:cs="Arial" w:eastAsia="Arial" w:hAnsi="Arial"/>
          <w:color w:val="2B2B2B"/>
          <w:sz w:val="19"/>
          <w:szCs w:val="19"/>
        </w:rPr>
        <w:t xml:space="preserve">Gelb markierte Stellen in Elternbrief, Talon, Muster-Mail und Infoblatt anpassen</w:t>
      </w:r>
    </w:p>
    <w:p>
      <w:pPr>
        <w:spacing w:after="50" w:before="0"/>
      </w:pPr>
      <w:r>
        <w:rPr>
          <w:rFonts w:ascii="Arial" w:cs="Arial" w:eastAsia="Arial" w:hAnsi="Arial"/>
          <w:color w:val="2F6F73"/>
          <w:sz w:val="20"/>
          <w:szCs w:val="20"/>
        </w:rPr>
        <w:t xml:space="preserve">□  </w:t>
      </w:r>
      <w:r>
        <w:rPr>
          <w:rFonts w:ascii="Arial" w:cs="Arial" w:eastAsia="Arial" w:hAnsi="Arial"/>
          <w:color w:val="2B2B2B"/>
          <w:sz w:val="19"/>
          <w:szCs w:val="19"/>
        </w:rPr>
        <w:t xml:space="preserve">Tätigkeitskarten (1.2) drucken, am besten laminieren</w:t>
      </w:r>
    </w:p>
    <w:p>
      <w:pPr>
        <w:spacing w:after="50" w:before="0"/>
      </w:pPr>
      <w:r>
        <w:rPr>
          <w:rFonts w:ascii="Arial" w:cs="Arial" w:eastAsia="Arial" w:hAnsi="Arial"/>
          <w:color w:val="2F6F73"/>
          <w:sz w:val="20"/>
          <w:szCs w:val="20"/>
        </w:rPr>
        <w:t xml:space="preserve">□  </w:t>
      </w:r>
      <w:r>
        <w:rPr>
          <w:rFonts w:ascii="Arial" w:cs="Arial" w:eastAsia="Arial" w:hAnsi="Arial"/>
          <w:color w:val="2B2B2B"/>
          <w:sz w:val="19"/>
          <w:szCs w:val="19"/>
        </w:rPr>
        <w:t xml:space="preserve">Pro Kind eine Praxisfenster-Mappe bereitstellen</w:t>
      </w:r>
    </w:p>
    <w:p>
      <w:pPr>
        <w:spacing w:after="50" w:before="0"/>
      </w:pPr>
      <w:r>
        <w:rPr>
          <w:rFonts w:ascii="Arial" w:cs="Arial" w:eastAsia="Arial" w:hAnsi="Arial"/>
          <w:color w:val="2F6F73"/>
          <w:sz w:val="20"/>
          <w:szCs w:val="20"/>
        </w:rPr>
        <w:t xml:space="preserve">□  </w:t>
      </w:r>
      <w:r>
        <w:rPr>
          <w:rFonts w:ascii="Arial" w:cs="Arial" w:eastAsia="Arial" w:hAnsi="Arial"/>
          <w:color w:val="2B2B2B"/>
          <w:sz w:val="19"/>
          <w:szCs w:val="19"/>
        </w:rPr>
        <w:t xml:space="preserve">Pro Kind kopieren: Laufblatt, 4–8 Journal-Aufträge, Explorer:innen-Logbuch (später)</w:t>
      </w:r>
    </w:p>
    <w:p>
      <w:pPr>
        <w:spacing w:after="50" w:before="0"/>
      </w:pPr>
      <w:r>
        <w:rPr>
          <w:rFonts w:ascii="Arial" w:cs="Arial" w:eastAsia="Arial" w:hAnsi="Arial"/>
          <w:color w:val="2F6F73"/>
          <w:sz w:val="20"/>
          <w:szCs w:val="20"/>
        </w:rPr>
        <w:t xml:space="preserve">□  </w:t>
      </w:r>
      <w:r>
        <w:rPr>
          <w:rFonts w:ascii="Arial" w:cs="Arial" w:eastAsia="Arial" w:hAnsi="Arial"/>
          <w:color w:val="2B2B2B"/>
          <w:sz w:val="19"/>
          <w:szCs w:val="19"/>
        </w:rPr>
        <w:t xml:space="preserve">Karton, Klebeband und Lego für 2.4 sammeln lassen</w:t>
      </w:r>
    </w:p>
    <w:p>
      <w:pPr>
        <w:spacing w:after="50" w:before="0"/>
      </w:pPr>
      <w:r>
        <w:rPr>
          <w:rFonts w:ascii="Arial" w:cs="Arial" w:eastAsia="Arial" w:hAnsi="Arial"/>
          <w:color w:val="2F6F73"/>
          <w:sz w:val="20"/>
          <w:szCs w:val="20"/>
        </w:rPr>
        <w:t xml:space="preserve">□  </w:t>
      </w:r>
      <w:r>
        <w:rPr>
          <w:rFonts w:ascii="Arial" w:cs="Arial" w:eastAsia="Arial" w:hAnsi="Arial"/>
          <w:color w:val="2B2B2B"/>
          <w:sz w:val="19"/>
          <w:szCs w:val="19"/>
        </w:rPr>
        <w:t xml:space="preserve">Termin für die Ausstellung (2.8) festlegen und die Eltern einladen</w:t>
      </w:r>
    </w:p>
    <w:p>
      <w:pPr>
        <w:keepNext/>
        <w:spacing w:after="100" w:before="260"/>
      </w:pPr>
      <w:r>
        <w:rPr>
          <w:rFonts w:ascii="Arial" w:cs="Arial" w:eastAsia="Arial" w:hAnsi="Arial"/>
          <w:b/>
          <w:bCs/>
          <w:color w:val="2F6F73"/>
          <w:sz w:val="26"/>
          <w:szCs w:val="26"/>
        </w:rPr>
        <w:t xml:space="preserve">Häufige Fragen</w:t>
      </w:r>
    </w:p>
    <w:p>
      <w:pPr>
        <w:keepNext/>
        <w:spacing w:after="30" w:before="100"/>
      </w:pPr>
      <w:r>
        <w:rPr>
          <w:rFonts w:ascii="Arial" w:cs="Arial" w:eastAsia="Arial" w:hAnsi="Arial"/>
          <w:b/>
          <w:bCs/>
          <w:color w:val="1E3A5F"/>
          <w:sz w:val="20"/>
          <w:szCs w:val="20"/>
        </w:rPr>
        <w:t xml:space="preserve">Was, wenn wenig Zeit vor dem Betriebsbesuch vorhanden ist?</w:t>
      </w:r>
    </w:p>
    <w:p>
      <w:pPr>
        <w:spacing w:after="100" w:before="0"/>
      </w:pPr>
      <w:r>
        <w:rPr>
          <w:rFonts w:ascii="Arial" w:cs="Arial" w:eastAsia="Arial" w:hAnsi="Arial"/>
          <w:color w:val="2B2B2B"/>
          <w:sz w:val="19"/>
          <w:szCs w:val="19"/>
        </w:rPr>
        <w:t xml:space="preserve">Es wird empfohlen, das Praxisfenster als Projektwoche mit den wichtigsten Modulen durchzuführen (Minimal- oder Kompaktprogramm). Wichtig ist, dass die Betriebe vorher schon gefunden sind.</w:t>
      </w:r>
    </w:p>
    <w:p>
      <w:pPr>
        <w:keepNext/>
        <w:spacing w:after="30" w:before="100"/>
      </w:pPr>
      <w:r>
        <w:rPr>
          <w:rFonts w:ascii="Arial" w:cs="Arial" w:eastAsia="Arial" w:hAnsi="Arial"/>
          <w:b/>
          <w:bCs/>
          <w:color w:val="1E3A5F"/>
          <w:sz w:val="20"/>
          <w:szCs w:val="20"/>
        </w:rPr>
        <w:t xml:space="preserve">Muss ich alle Module durchführen?</w:t>
      </w:r>
    </w:p>
    <w:p>
      <w:pPr>
        <w:spacing w:after="100" w:before="0"/>
      </w:pPr>
      <w:r>
        <w:rPr>
          <w:rFonts w:ascii="Arial" w:cs="Arial" w:eastAsia="Arial" w:hAnsi="Arial"/>
          <w:color w:val="2B2B2B"/>
          <w:sz w:val="19"/>
          <w:szCs w:val="19"/>
        </w:rPr>
        <w:t xml:space="preserve">Es wird empfohlen, sicher 1.2, 1.3, 1.5, 2.1, 2.2, 2.3, 2.6, 2.7 und 2.8 durchzuführen. Die 4 Journal-Aufträge helfen den Schüler:innen, sich vertieft mit ihren Ressourcen zu befassen. Freiwillig und zur Vertiefung sind 1.1, 1.4, 2.4, 2.5 und die Journal-Aufträge 5–8. Stehen die Betriebe schon fest und ist die Zeit knapp, reicht das Minimalprogramm.</w:t>
      </w:r>
    </w:p>
    <w:p>
      <w:pPr>
        <w:keepNext/>
        <w:spacing w:after="30" w:before="100"/>
      </w:pPr>
      <w:r>
        <w:rPr>
          <w:rFonts w:ascii="Arial" w:cs="Arial" w:eastAsia="Arial" w:hAnsi="Arial"/>
          <w:b/>
          <w:bCs/>
          <w:color w:val="1E3A5F"/>
          <w:sz w:val="20"/>
          <w:szCs w:val="20"/>
        </w:rPr>
        <w:t xml:space="preserve">Wie viel Vorbereitung braucht es?</w:t>
      </w:r>
    </w:p>
    <w:p>
      <w:pPr>
        <w:spacing w:after="100" w:before="0"/>
      </w:pPr>
      <w:r>
        <w:rPr>
          <w:rFonts w:ascii="Arial" w:cs="Arial" w:eastAsia="Arial" w:hAnsi="Arial"/>
          <w:color w:val="2B2B2B"/>
          <w:sz w:val="19"/>
          <w:szCs w:val="19"/>
        </w:rPr>
        <w:t xml:space="preserve">Pro Modul etwa 15–30 Minuten. Detailplanung lesen, kopieren, Material bereitstellen. Für 2.4 Karton sammeln, für 2.3 die Platzhalter in den Vorlagen anpassen.</w:t>
      </w:r>
    </w:p>
    <w:p>
      <w:pPr>
        <w:keepNext/>
        <w:spacing w:after="30" w:before="100"/>
      </w:pPr>
      <w:r>
        <w:rPr>
          <w:rFonts w:ascii="Arial" w:cs="Arial" w:eastAsia="Arial" w:hAnsi="Arial"/>
          <w:b/>
          <w:bCs/>
          <w:color w:val="1E3A5F"/>
          <w:sz w:val="20"/>
          <w:szCs w:val="20"/>
        </w:rPr>
        <w:t xml:space="preserve">Was, wenn ein Kind keinen Betrieb findet?</w:t>
      </w:r>
    </w:p>
    <w:p>
      <w:pPr>
        <w:spacing w:after="100" w:before="0"/>
      </w:pPr>
      <w:r>
        <w:rPr>
          <w:rFonts w:ascii="Arial" w:cs="Arial" w:eastAsia="Arial" w:hAnsi="Arial"/>
          <w:color w:val="2B2B2B"/>
          <w:sz w:val="19"/>
          <w:szCs w:val="19"/>
        </w:rPr>
        <w:t xml:space="preserve">Das Schulhaus ist auch ein Betrieb. Das Manual 2.7 enthält ein Tagesprogramm mit Hausdienst, Sekretariat, Bibliothek und Hort.</w:t>
      </w:r>
    </w:p>
    <w:p>
      <w:pPr>
        <w:keepNext/>
        <w:spacing w:after="30" w:before="100"/>
      </w:pPr>
      <w:r>
        <w:rPr>
          <w:rFonts w:ascii="Arial" w:cs="Arial" w:eastAsia="Arial" w:hAnsi="Arial"/>
          <w:b/>
          <w:bCs/>
          <w:color w:val="1E3A5F"/>
          <w:sz w:val="20"/>
          <w:szCs w:val="20"/>
        </w:rPr>
        <w:t xml:space="preserve">Was gilt rechtlich?</w:t>
      </w:r>
    </w:p>
    <w:p>
      <w:pPr>
        <w:spacing w:after="100" w:before="0"/>
      </w:pPr>
      <w:r>
        <w:rPr>
          <w:rFonts w:ascii="Arial" w:cs="Arial" w:eastAsia="Arial" w:hAnsi="Arial"/>
          <w:color w:val="2B2B2B"/>
          <w:sz w:val="19"/>
          <w:szCs w:val="19"/>
        </w:rPr>
        <w:t xml:space="preserve">Das Merkblatt 2.3 fasst Versicherung, Aufsicht und Jugendarbeitsschutz zusammen. Es ist ein Entwurf und wird mit der Schulleitung geprüft.</w:t>
      </w:r>
    </w:p>
    <w:p>
      <w:pPr>
        <w:spacing w:after="120" w:before="0"/>
      </w:pPr>
      <w:r>
        <w:rPr>
          <w:rFonts w:ascii="Arial" w:cs="Arial" w:eastAsia="Arial" w:hAnsi="Arial"/>
          <w:color w:val="2B2B2B"/>
          <w:sz w:val="21"/>
          <w:szCs w:val="21"/>
        </w:rPr>
        <w:t xml:space="preserve"/>
      </w: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6"/>
      </w:tblGrid>
      <w:tr>
        <w:trPr>
          <w:cantSplit/>
        </w:trPr>
        <w:tc>
          <w:tcPr>
            <w:tcW w:type="dxa" w:w="10206"/>
            <w:tcBorders>
              <w:top w:val="none" w:color="FFFFFF" w:sz="0"/>
              <w:left w:val="none" w:color="FFFFFF" w:sz="0"/>
              <w:bottom w:val="none" w:color="FFFFFF" w:sz="0"/>
              <w:right w:val="none" w:color="FFFFFF" w:sz="0"/>
            </w:tcBorders>
            <w:shd w:fill="E1ECEC" w:color="auto" w:val="clear"/>
            <w:tcMar>
              <w:top w:type="dxa" w:w="140"/>
              <w:left w:type="dxa" w:w="200"/>
              <w:bottom w:type="dxa" w:w="140"/>
              <w:right w:type="dxa" w:w="200"/>
            </w:tcMar>
            <w:vAlign w:val="top"/>
          </w:tcPr>
          <w:p>
            <w:pPr>
              <w:spacing w:after="60" w:before="0"/>
            </w:pPr>
            <w:r>
              <w:rPr>
                <w:rFonts w:ascii="Arial" w:cs="Arial" w:eastAsia="Arial" w:hAnsi="Arial"/>
                <w:b/>
                <w:bCs/>
                <w:color w:val="2F6F73"/>
                <w:sz w:val="20"/>
                <w:szCs w:val="20"/>
              </w:rPr>
              <w:t xml:space="preserve">Kontakt</w:t>
            </w:r>
          </w:p>
          <w:p>
            <w:pPr>
              <w:spacing w:after="0" w:before="0"/>
            </w:pPr>
            <w:r>
              <w:rPr>
                <w:rFonts w:ascii="Arial" w:cs="Arial" w:eastAsia="Arial" w:hAnsi="Arial"/>
                <w:color w:val="2B2B2B"/>
                <w:sz w:val="19"/>
                <w:szCs w:val="19"/>
              </w:rPr>
              <w:t xml:space="preserve">Praxisfenster wird von Intrinsic durchgeführt und von der Stiftung Wegweiser unterstützt. Kontakt: rm@intrinsic.ch. Rückmeldungen und Fragen können Sie auch über den Feedback-Button auf der Website hinterlassen.</w:t>
            </w:r>
          </w:p>
        </w:tc>
      </w:tr>
    </w:tbl>
    <w:sectPr>
      <w:footerReference w:type="default" r:id="rId7"/>
      <w:pgSz w:w="11906" w:h="16838" w:orient="portrait"/>
      <w:pgMar w:top="850" w:right="850" w:bottom="850" w:left="850"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F6F73" w:sz="6" w:space="4"/>
      </w:pBdr>
      <w:tabs>
        <w:tab w:val="right" w:pos="10206"/>
      </w:tabs>
    </w:pPr>
    <w:r>
      <w:rPr>
        <w:rFonts w:ascii="Arial" w:cs="Arial" w:eastAsia="Arial" w:hAnsi="Arial"/>
        <w:b/>
        <w:bCs/>
        <w:color w:val="2F6F73"/>
        <w:sz w:val="16"/>
        <w:szCs w:val="16"/>
      </w:rPr>
      <w:t xml:space="preserve">Praxisfenster</w:t>
    </w:r>
    <w:r>
      <w:rPr>
        <w:rFonts w:ascii="Arial" w:cs="Arial" w:eastAsia="Arial" w:hAnsi="Arial"/>
        <w:color w:val="6B6B6B"/>
        <w:sz w:val="16"/>
        <w:szCs w:val="16"/>
      </w:rPr>
      <w:t xml:space="preserve">   Ein Blick in die Arbeitswelt. Ein Schritt für mich.</w:t>
    </w:r>
    <w:r>
      <w:rPr>
        <w:rFonts w:ascii="Arial" w:cs="Arial" w:eastAsia="Arial" w:hAnsi="Arial"/>
        <w:color w:val="2F6F73"/>
        <w:sz w:val="16"/>
        <w:szCs w:val="16"/>
      </w:rPr>
      <w:t xml:space="preserve">	Einführung für Lehrpersonen</w:t>
    </w:r>
    <w:r>
      <w:rPr>
        <w:rFonts w:ascii="Arial" w:cs="Arial" w:eastAsia="Arial" w:hAnsi="Arial"/>
        <w:b/>
        <w:bCs/>
        <w:color w:val="2F6F73"/>
        <w:sz w:val="16"/>
        <w:szCs w:val="16"/>
      </w:rPr>
      <w:t xml:space="preserve">  ·  Seite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B2B2B"/>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71b06ef9a92ef32bdfba6bc49d50524b100e3ef5.png"/><Relationship Id="rId9" Type="http://schemas.openxmlformats.org/officeDocument/2006/relationships/image" Target="media/31de763d8d4c066619cb3a258ad61fb06ffdf499.png"/><Relationship Id="rId10" Type="http://schemas.openxmlformats.org/officeDocument/2006/relationships/image" Target="media/3692068aca4d2904bc4c59a42ff275b612fd59d7.png"/><Relationship Id="rId11" Type="http://schemas.openxmlformats.org/officeDocument/2006/relationships/image" Target="media/20b60ee2d3468c1c0779dee67550b4a7db947ccc.png"/><Relationship Id="rId12" Type="http://schemas.openxmlformats.org/officeDocument/2006/relationships/image" Target="media/6f94dc1f775cc23c5f4a5190dceb5437e6848d78.png"/><Relationship Id="rId13" Type="http://schemas.openxmlformats.org/officeDocument/2006/relationships/image" Target="media/0357e9cf19df04940b83f27c0d772999e53d6071.png"/><Relationship Id="rId14" Type="http://schemas.openxmlformats.org/officeDocument/2006/relationships/image" Target="media/d491fad76abd4cd6d96812e341435a21f4ae74bf.png"/><Relationship Id="rId15" Type="http://schemas.openxmlformats.org/officeDocument/2006/relationships/image" Target="media/ffdb9be79d5a38f6948653aa05eecd288c0cff30.png"/><Relationship Id="rId16" Type="http://schemas.openxmlformats.org/officeDocument/2006/relationships/image" Target="media/5898927ef1ceabf2b73fd0f63e62d331aaba7797.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Praxisfenster Einführung für Lehrpersonen</dc:title>
  <dc:creator>Praxisfenster</dc:creator>
  <cp:lastModifiedBy>Un-named</cp:lastModifiedBy>
  <cp:revision>1</cp:revision>
  <dcterms:created xsi:type="dcterms:W3CDTF">2026-10-19T04:40:02.254Z</dcterms:created>
  <dcterms:modified xsi:type="dcterms:W3CDTF">2026-10-19T04:40:02.255Z</dcterms:modified>
</cp:coreProperties>
</file>

<file path=docProps/custom.xml><?xml version="1.0" encoding="utf-8"?>
<Properties xmlns="http://schemas.openxmlformats.org/officeDocument/2006/custom-properties" xmlns:vt="http://schemas.openxmlformats.org/officeDocument/2006/docPropsVTypes"/>
</file>