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300"/>
        <w:gridCol w:w="2906"/>
      </w:tblGrid>
      <w:tr>
        <w:trPr>
          <w:cantSplit/>
        </w:trPr>
        <w:tc>
          <w:tcPr>
            <w:tcW w:type="dxa" w:w="7300"/>
            <w:tcBorders>
              <w:top w:val="none" w:color="FFFFFF" w:sz="0"/>
              <w:left w:val="none" w:color="FFFFFF" w:sz="0"/>
              <w:bottom w:val="none" w:color="FFFFFF" w:sz="0"/>
              <w:right w:val="none" w:color="FFFFFF" w:sz="0"/>
            </w:tcBorders>
            <w:shd w:fill="F8F4EC" w:color="auto" w:val="clear"/>
            <w:tcMar>
              <w:top w:type="dxa" w:w="160"/>
              <w:left w:type="dxa" w:w="200"/>
              <w:bottom w:type="dxa" w:w="160"/>
              <w:right w:type="dxa" w:w="120"/>
            </w:tcMar>
            <w:vAlign w:val="top"/>
          </w:tcPr>
          <w:p>
            <w:pPr>
              <w:spacing w:after="60" w:before="0"/>
            </w:pPr>
            <w:r>
              <w:drawing>
                <wp:inline distT="0" distB="0" distL="0" distR="0">
                  <wp:extent cx="2095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09550" cy="171450"/>
                          </a:xfrm>
                          <a:prstGeom prst="rect">
                            <a:avLst/>
                          </a:prstGeom>
                        </pic:spPr>
                      </pic:pic>
                    </a:graphicData>
                  </a:graphic>
                </wp:inline>
              </w:drawing>
            </w:r>
            <w:r>
              <w:rPr>
                <w:rFonts w:ascii="Arial" w:cs="Arial" w:eastAsia="Arial" w:hAnsi="Arial"/>
                <w:b/>
                <w:bCs/>
                <w:color w:val="2F6F73"/>
                <w:sz w:val="22"/>
                <w:szCs w:val="22"/>
              </w:rPr>
              <w:t xml:space="preserve">  Praxisfenster</w:t>
            </w:r>
          </w:p>
          <w:p>
            <w:pPr>
              <w:spacing w:after="60" w:before="0"/>
            </w:pPr>
            <w:r>
              <w:rPr>
                <w:rFonts w:ascii="Arial" w:cs="Arial" w:eastAsia="Arial" w:hAnsi="Arial"/>
                <w:b/>
                <w:bCs/>
                <w:color w:val="1E3A5F"/>
                <w:sz w:val="17"/>
                <w:szCs w:val="17"/>
                <w:shd w:fill="F4B183" w:color="auto" w:val="clear"/>
              </w:rPr>
              <w:t xml:space="preserve"> Detailplanung 1.4 </w:t>
            </w:r>
          </w:p>
          <w:p>
            <w:pPr>
              <w:spacing w:after="40" w:before="0"/>
            </w:pPr>
            <w:r>
              <w:rPr>
                <w:rFonts w:ascii="Arial" w:cs="Arial" w:eastAsia="Arial" w:hAnsi="Arial"/>
                <w:b/>
                <w:bCs/>
                <w:color w:val="2F6F73"/>
                <w:sz w:val="40"/>
                <w:szCs w:val="40"/>
              </w:rPr>
              <w:t xml:space="preserve">Mein Vorbild</w:t>
            </w:r>
          </w:p>
          <w:p>
            <w:pPr>
              <w:spacing w:after="0" w:before="0"/>
            </w:pPr>
            <w:r>
              <w:rPr>
                <w:rFonts w:ascii="Arial" w:cs="Arial" w:eastAsia="Arial" w:hAnsi="Arial"/>
                <w:b/>
                <w:bCs/>
                <w:color w:val="6B6B6B"/>
                <w:sz w:val="20"/>
                <w:szCs w:val="20"/>
              </w:rPr>
              <w:t xml:space="preserve">Teil 1 · Ich im Zentrum</w:t>
            </w:r>
          </w:p>
        </w:tc>
        <w:tc>
          <w:tcPr>
            <w:tcW w:type="dxa" w:w="2906"/>
            <w:tcBorders>
              <w:top w:val="none" w:color="FFFFFF" w:sz="0"/>
              <w:left w:val="none" w:color="FFFFFF" w:sz="0"/>
              <w:bottom w:val="none" w:color="FFFFFF" w:sz="0"/>
              <w:right w:val="none" w:color="FFFFFF" w:sz="0"/>
            </w:tcBorders>
            <w:shd w:fill="F8F4EC" w:color="auto" w:val="clear"/>
            <w:tcMar>
              <w:top w:type="dxa" w:w="160"/>
              <w:left w:type="dxa" w:w="120"/>
              <w:bottom w:type="dxa" w:w="120"/>
              <w:right w:type="dxa" w:w="120"/>
            </w:tcMar>
            <w:vAlign w:val="center"/>
          </w:tcPr>
          <w:p>
            <w:pPr>
              <w:spacing w:after="0" w:before="0"/>
            </w:pPr>
            <w:r>
              <w:rPr>
                <w:rFonts w:ascii="Arial" w:cs="Arial" w:eastAsia="Arial" w:hAnsi="Arial"/>
                <w:b/>
                <w:bCs/>
                <w:color w:val="1E3A5F"/>
                <w:sz w:val="16"/>
                <w:szCs w:val="16"/>
              </w:rPr>
              <w:t xml:space="preserve">Dauer</w:t>
            </w:r>
          </w:p>
          <w:p>
            <w:pPr>
              <w:spacing w:after="70" w:before="0"/>
            </w:pPr>
            <w:r>
              <w:rPr>
                <w:rFonts w:ascii="Arial" w:cs="Arial" w:eastAsia="Arial" w:hAnsi="Arial"/>
                <w:color w:val="2B2B2B"/>
                <w:sz w:val="18"/>
                <w:szCs w:val="18"/>
              </w:rPr>
              <w:t xml:space="preserve">75'</w:t>
            </w:r>
          </w:p>
          <w:p>
            <w:pPr>
              <w:spacing w:after="0" w:before="0"/>
            </w:pPr>
            <w:r>
              <w:rPr>
                <w:rFonts w:ascii="Arial" w:cs="Arial" w:eastAsia="Arial" w:hAnsi="Arial"/>
                <w:b/>
                <w:bCs/>
                <w:color w:val="1E3A5F"/>
                <w:sz w:val="16"/>
                <w:szCs w:val="16"/>
              </w:rPr>
              <w:t xml:space="preserve">Sozialform</w:t>
            </w:r>
          </w:p>
          <w:p>
            <w:pPr>
              <w:spacing w:after="70" w:before="0"/>
            </w:pPr>
            <w:r>
              <w:rPr>
                <w:rFonts w:ascii="Arial" w:cs="Arial" w:eastAsia="Arial" w:hAnsi="Arial"/>
                <w:color w:val="2B2B2B"/>
                <w:sz w:val="18"/>
                <w:szCs w:val="18"/>
              </w:rPr>
              <w:t xml:space="preserve">Zu zweit, Präsentation in Kleingruppen</w:t>
            </w:r>
          </w:p>
        </w:tc>
      </w:tr>
    </w:tbl>
    <w:p>
      <w:pPr>
        <w:spacing w:after="60" w:before="0"/>
      </w:pPr>
      <w:r>
        <w:rPr>
          <w:rFonts w:ascii="Arial" w:cs="Arial" w:eastAsia="Arial" w:hAnsi="Arial"/>
          <w:color w:val="2B2B2B"/>
          <w:sz w:val="21"/>
          <w:szCs w:val="21"/>
        </w:rPr>
        <w:t xml:space="preserve"/>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00"/>
        <w:gridCol w:w="7906"/>
      </w:tblGrid>
      <w:tr>
        <w:trPr>
          <w:cantSplit/>
        </w:trPr>
        <w:tc>
          <w:tcPr>
            <w:tcW w:type="dxa" w:w="23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Dauer</w:t>
            </w:r>
          </w:p>
        </w:tc>
        <w:tc>
          <w:tcPr>
            <w:tcW w:type="dxa" w:w="79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2B2B2B"/>
                <w:sz w:val="19"/>
                <w:szCs w:val="19"/>
              </w:rPr>
              <w:t xml:space="preserve">75' in drei Teilen: A Recherche 45' · B Präsentation 20' · C Be a Picasso 10'. A und B lassen sich auf zwei Tage verteilen.</w:t>
            </w:r>
          </w:p>
        </w:tc>
      </w:tr>
      <w:tr>
        <w:trPr>
          <w:cantSplit/>
        </w:trPr>
        <w:tc>
          <w:tcPr>
            <w:tcW w:type="dxa" w:w="23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Sozialform</w:t>
            </w:r>
          </w:p>
        </w:tc>
        <w:tc>
          <w:tcPr>
            <w:tcW w:type="dxa" w:w="79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2B2B2B"/>
                <w:sz w:val="19"/>
                <w:szCs w:val="19"/>
              </w:rPr>
              <w:t xml:space="preserve">Plenum, Recherche zu zweit, Präsentation in Kleingruppen, Be a Picasso mit wechselnden Partner:innen</w:t>
            </w:r>
          </w:p>
        </w:tc>
      </w:tr>
      <w:tr>
        <w:trPr>
          <w:cantSplit/>
        </w:trPr>
        <w:tc>
          <w:tcPr>
            <w:tcW w:type="dxa" w:w="23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Ziel in einem Satz</w:t>
            </w:r>
          </w:p>
        </w:tc>
        <w:tc>
          <w:tcPr>
            <w:tcW w:type="dxa" w:w="79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2B2B2B"/>
                <w:sz w:val="19"/>
                <w:szCs w:val="19"/>
              </w:rPr>
              <w:t xml:space="preserve">Die Kinder erkennen am Lernweg eines Vorbilds, dass Können durch Zeit, Übung, Hilfe und Fehler wächst. Sie verstehen, welche Fähigkeitsfenster die Person vor allem gebraucht hat.</w:t>
            </w:r>
          </w:p>
        </w:tc>
      </w:tr>
      <w:tr>
        <w:trPr>
          <w:cantSplit/>
        </w:trPr>
        <w:tc>
          <w:tcPr>
            <w:tcW w:type="dxa" w:w="23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Lernziele</w:t>
            </w:r>
          </w:p>
        </w:tc>
        <w:tc>
          <w:tcPr>
            <w:tcW w:type="dxa" w:w="79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20" w:before="0"/>
            </w:pPr>
            <w:r>
              <w:rPr>
                <w:rFonts w:ascii="Arial" w:cs="Arial" w:eastAsia="Arial" w:hAnsi="Arial"/>
                <w:color w:val="2B2B2B"/>
                <w:sz w:val="19"/>
                <w:szCs w:val="19"/>
              </w:rPr>
              <w:t xml:space="preserve">• SuS können an einer Person aufzeigen, welche Fähigkeitsfenster für ihr Können nötig sind.</w:t>
            </w:r>
          </w:p>
          <w:p>
            <w:pPr>
              <w:spacing w:after="20" w:before="0"/>
            </w:pPr>
            <w:r>
              <w:rPr>
                <w:rFonts w:ascii="Arial" w:cs="Arial" w:eastAsia="Arial" w:hAnsi="Arial"/>
                <w:color w:val="2B2B2B"/>
                <w:sz w:val="19"/>
                <w:szCs w:val="19"/>
              </w:rPr>
              <w:t xml:space="preserve">• SuS können den Lernweg einer Person beschreiben (Anfang, Üben, Hilfen, Schwierigkeiten).</w:t>
            </w:r>
          </w:p>
          <w:p>
            <w:pPr>
              <w:spacing w:after="20" w:before="0"/>
            </w:pPr>
            <w:r>
              <w:rPr>
                <w:rFonts w:ascii="Arial" w:cs="Arial" w:eastAsia="Arial" w:hAnsi="Arial"/>
                <w:color w:val="2B2B2B"/>
                <w:sz w:val="19"/>
                <w:szCs w:val="19"/>
              </w:rPr>
              <w:t xml:space="preserve">• SuS erkennen, dass Können durch Zeit, Übung und Unterstützung wächst.</w:t>
            </w:r>
          </w:p>
          <w:p>
            <w:pPr>
              <w:spacing w:after="0" w:before="0"/>
            </w:pPr>
            <w:r>
              <w:rPr>
                <w:rFonts w:ascii="Arial" w:cs="Arial" w:eastAsia="Arial" w:hAnsi="Arial"/>
                <w:color w:val="2B2B2B"/>
                <w:sz w:val="19"/>
                <w:szCs w:val="19"/>
              </w:rPr>
              <w:t xml:space="preserve">• SuS können ihr Vorbild vor anderen vorstellen und sich selbst ein Fähigkeitsfenster zuordnen.</w:t>
            </w:r>
          </w:p>
        </w:tc>
      </w:tr>
      <w:tr>
        <w:trPr>
          <w:cantSplit/>
        </w:trPr>
        <w:tc>
          <w:tcPr>
            <w:tcW w:type="dxa" w:w="23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Lehrplan 21</w:t>
            </w:r>
          </w:p>
        </w:tc>
        <w:tc>
          <w:tcPr>
            <w:tcW w:type="dxa" w:w="79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20" w:before="0"/>
            </w:pPr>
            <w:r>
              <w:rPr>
                <w:rFonts w:ascii="Arial" w:cs="Arial" w:eastAsia="Arial" w:hAnsi="Arial"/>
                <w:color w:val="2B2B2B"/>
                <w:sz w:val="19"/>
                <w:szCs w:val="19"/>
              </w:rPr>
              <w:t xml:space="preserve">NMG.1.1c – ihre Fähigkeiten erkunden und sich selber charakterisieren</w:t>
            </w:r>
          </w:p>
          <w:p>
            <w:pPr>
              <w:spacing w:after="20" w:before="0"/>
            </w:pPr>
            <w:r>
              <w:rPr>
                <w:rFonts w:ascii="Arial" w:cs="Arial" w:eastAsia="Arial" w:hAnsi="Arial"/>
                <w:color w:val="2B2B2B"/>
                <w:sz w:val="19"/>
                <w:szCs w:val="19"/>
              </w:rPr>
              <w:t xml:space="preserve">NMG.11.1b – beschreiben, wie Menschen mit Grunderfahrungen umgehen (z.B. Erfolg, Niederlage)</w:t>
            </w:r>
          </w:p>
          <w:p>
            <w:pPr>
              <w:spacing w:after="20" w:before="0"/>
            </w:pPr>
            <w:r>
              <w:rPr>
                <w:rFonts w:ascii="Arial" w:cs="Arial" w:eastAsia="Arial" w:hAnsi="Arial"/>
                <w:color w:val="2B2B2B"/>
                <w:sz w:val="19"/>
                <w:szCs w:val="19"/>
              </w:rPr>
              <w:t xml:space="preserve">NMG.6.2c – sich über Traumberufe sowie Rollenbilder austauschen</w:t>
            </w:r>
          </w:p>
          <w:p>
            <w:pPr>
              <w:spacing w:after="0" w:before="0"/>
            </w:pPr>
            <w:r>
              <w:rPr>
                <w:rFonts w:ascii="Arial" w:cs="Arial" w:eastAsia="Arial" w:hAnsi="Arial"/>
                <w:color w:val="2B2B2B"/>
                <w:sz w:val="19"/>
                <w:szCs w:val="19"/>
              </w:rPr>
              <w:t xml:space="preserve">D.3.B Monologisches Sprechen; Überfachlich (methodisch): Informationen nutzen</w:t>
            </w:r>
          </w:p>
        </w:tc>
      </w:tr>
      <w:tr>
        <w:trPr>
          <w:cantSplit/>
        </w:trPr>
        <w:tc>
          <w:tcPr>
            <w:tcW w:type="dxa" w:w="23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Fähigkeitsfenster</w:t>
            </w:r>
          </w:p>
        </w:tc>
        <w:tc>
          <w:tcPr>
            <w:tcW w:type="dxa" w:w="79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0" w:before="0"/>
            </w:pPr>
            <w:r>
              <w:drawing>
                <wp:inline distT="0" distB="0" distL="0" distR="0">
                  <wp:extent cx="152400" cy="15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52400" cy="152400"/>
                          </a:xfrm>
                          <a:prstGeom prst="rect">
                            <a:avLst/>
                          </a:prstGeom>
                        </pic:spPr>
                      </pic:pic>
                    </a:graphicData>
                  </a:graphic>
                </wp:inline>
              </w:drawing>
            </w:r>
            <w:r>
              <w:rPr>
                <w:rFonts w:ascii="Arial" w:cs="Arial" w:eastAsia="Arial" w:hAnsi="Arial"/>
                <w:b/>
                <w:bCs/>
                <w:color w:val="1E3A5F"/>
                <w:sz w:val="18"/>
                <w:szCs w:val="18"/>
              </w:rPr>
              <w:t xml:space="preserve"> Ich selbst    </w:t>
            </w:r>
            <w:r>
              <w:drawing>
                <wp:inline distT="0" distB="0" distL="0" distR="0">
                  <wp:extent cx="152400" cy="15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52400" cy="152400"/>
                          </a:xfrm>
                          <a:prstGeom prst="rect">
                            <a:avLst/>
                          </a:prstGeom>
                        </pic:spPr>
                      </pic:pic>
                    </a:graphicData>
                  </a:graphic>
                </wp:inline>
              </w:drawing>
            </w:r>
            <w:r>
              <w:rPr>
                <w:rFonts w:ascii="Arial" w:cs="Arial" w:eastAsia="Arial" w:hAnsi="Arial"/>
                <w:b/>
                <w:bCs/>
                <w:color w:val="C86A2E"/>
                <w:sz w:val="18"/>
                <w:szCs w:val="18"/>
              </w:rPr>
              <w:t xml:space="preserve"> Sprache    </w:t>
            </w:r>
          </w:p>
        </w:tc>
      </w:tr>
      <w:tr>
        <w:trPr>
          <w:cantSplit/>
        </w:trPr>
        <w:tc>
          <w:tcPr>
            <w:tcW w:type="dxa" w:w="23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Material &amp; Vorbereitung</w:t>
            </w:r>
          </w:p>
        </w:tc>
        <w:tc>
          <w:tcPr>
            <w:tcW w:type="dxa" w:w="79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20" w:before="0"/>
            </w:pPr>
            <w:r>
              <w:rPr>
                <w:rFonts w:ascii="Arial" w:cs="Arial" w:eastAsia="Arial" w:hAnsi="Arial"/>
                <w:color w:val="2F6F73"/>
                <w:sz w:val="20"/>
                <w:szCs w:val="20"/>
              </w:rPr>
              <w:t xml:space="preserve">□ </w:t>
            </w:r>
            <w:r>
              <w:rPr>
                <w:rFonts w:ascii="Arial" w:cs="Arial" w:eastAsia="Arial" w:hAnsi="Arial"/>
                <w:color w:val="2B2B2B"/>
                <w:sz w:val="19"/>
                <w:szCs w:val="19"/>
              </w:rPr>
              <w:t xml:space="preserve">Video Michael Jordan: https://www.youtube.com/watch?v=JA7G7AV-LT8 (vorher testen)</w:t>
            </w:r>
          </w:p>
          <w:p>
            <w:pPr>
              <w:spacing w:after="20" w:before="0"/>
            </w:pPr>
            <w:r>
              <w:rPr>
                <w:rFonts w:ascii="Arial" w:cs="Arial" w:eastAsia="Arial" w:hAnsi="Arial"/>
                <w:color w:val="2F6F73"/>
                <w:sz w:val="20"/>
                <w:szCs w:val="20"/>
              </w:rPr>
              <w:t xml:space="preserve">□ </w:t>
            </w:r>
            <w:r>
              <w:rPr>
                <w:rFonts w:ascii="Arial" w:cs="Arial" w:eastAsia="Arial" w:hAnsi="Arial"/>
                <w:color w:val="2B2B2B"/>
                <w:sz w:val="19"/>
                <w:szCs w:val="19"/>
              </w:rPr>
              <w:t xml:space="preserve">Folien 1.4</w:t>
            </w:r>
          </w:p>
          <w:p>
            <w:pPr>
              <w:spacing w:after="20" w:before="0"/>
            </w:pPr>
            <w:r>
              <w:rPr>
                <w:rFonts w:ascii="Arial" w:cs="Arial" w:eastAsia="Arial" w:hAnsi="Arial"/>
                <w:color w:val="2F6F73"/>
                <w:sz w:val="20"/>
                <w:szCs w:val="20"/>
              </w:rPr>
              <w:t xml:space="preserve">□ </w:t>
            </w:r>
            <w:r>
              <w:rPr>
                <w:rFonts w:ascii="Arial" w:cs="Arial" w:eastAsia="Arial" w:hAnsi="Arial"/>
                <w:color w:val="2B2B2B"/>
                <w:sz w:val="19"/>
                <w:szCs w:val="19"/>
              </w:rPr>
              <w:t xml:space="preserve">Arbeitsblatt «Ihr Lernweg» (PF_1.4_Ihr-Lernweg), doppelseitig, 1 pro Zweierteam</w:t>
            </w:r>
          </w:p>
          <w:p>
            <w:pPr>
              <w:spacing w:after="20" w:before="0"/>
            </w:pPr>
            <w:r>
              <w:rPr>
                <w:rFonts w:ascii="Arial" w:cs="Arial" w:eastAsia="Arial" w:hAnsi="Arial"/>
                <w:color w:val="2F6F73"/>
                <w:sz w:val="20"/>
                <w:szCs w:val="20"/>
              </w:rPr>
              <w:t xml:space="preserve">□ </w:t>
            </w:r>
            <w:r>
              <w:rPr>
                <w:rFonts w:ascii="Arial" w:cs="Arial" w:eastAsia="Arial" w:hAnsi="Arial"/>
                <w:color w:val="2B2B2B"/>
                <w:sz w:val="19"/>
                <w:szCs w:val="19"/>
              </w:rPr>
              <w:t xml:space="preserve">Ausgefülltes Beispielblatt (PF_1.4_Ihr-Lernweg-Beispiel) zum Zeigen</w:t>
            </w:r>
          </w:p>
          <w:p>
            <w:pPr>
              <w:spacing w:after="20" w:before="0"/>
            </w:pPr>
            <w:r>
              <w:rPr>
                <w:rFonts w:ascii="Arial" w:cs="Arial" w:eastAsia="Arial" w:hAnsi="Arial"/>
                <w:color w:val="2F6F73"/>
                <w:sz w:val="20"/>
                <w:szCs w:val="20"/>
              </w:rPr>
              <w:t xml:space="preserve">□ </w:t>
            </w:r>
            <w:r>
              <w:rPr>
                <w:rFonts w:ascii="Arial" w:cs="Arial" w:eastAsia="Arial" w:hAnsi="Arial"/>
                <w:color w:val="2B2B2B"/>
                <w:sz w:val="19"/>
                <w:szCs w:val="19"/>
              </w:rPr>
              <w:t xml:space="preserve">Vorbilder-Liste (PF_1.4_Vorbilder-Liste), 1 pro Zweierteam</w:t>
            </w:r>
          </w:p>
          <w:p>
            <w:pPr>
              <w:spacing w:after="20" w:before="0"/>
            </w:pPr>
            <w:r>
              <w:rPr>
                <w:rFonts w:ascii="Arial" w:cs="Arial" w:eastAsia="Arial" w:hAnsi="Arial"/>
                <w:color w:val="2F6F73"/>
                <w:sz w:val="20"/>
                <w:szCs w:val="20"/>
              </w:rPr>
              <w:t xml:space="preserve">□ </w:t>
            </w:r>
            <w:r>
              <w:rPr>
                <w:rFonts w:ascii="Arial" w:cs="Arial" w:eastAsia="Arial" w:hAnsi="Arial"/>
                <w:color w:val="2B2B2B"/>
                <w:sz w:val="19"/>
                <w:szCs w:val="19"/>
              </w:rPr>
              <w:t xml:space="preserve">Recherchezugang (Tablets oder Laptops mit Kindersuchmaschine, Bücher). Für schwächere Teams die drei Kurzporträts mit Quellen (PF_1.4_Kurzportraets)</w:t>
            </w:r>
          </w:p>
          <w:p>
            <w:pPr>
              <w:spacing w:after="0" w:before="0"/>
            </w:pPr>
            <w:r>
              <w:rPr>
                <w:rFonts w:ascii="Arial" w:cs="Arial" w:eastAsia="Arial" w:hAnsi="Arial"/>
                <w:color w:val="2F6F73"/>
                <w:sz w:val="20"/>
                <w:szCs w:val="20"/>
              </w:rPr>
              <w:t xml:space="preserve">□ </w:t>
            </w:r>
            <w:r>
              <w:rPr>
                <w:rFonts w:ascii="Arial" w:cs="Arial" w:eastAsia="Arial" w:hAnsi="Arial"/>
                <w:color w:val="2B2B2B"/>
                <w:sz w:val="19"/>
                <w:szCs w:val="19"/>
              </w:rPr>
              <w:t xml:space="preserve">Be a Picasso: Vorlage (PF_1.4_Be-a-Picasso) mit 3 Rahmen pro SuS oder A5-Blätter, Filzstifte</w:t>
            </w:r>
          </w:p>
        </w:tc>
      </w:tr>
      <w:tr>
        <w:trPr>
          <w:cantSplit/>
        </w:trPr>
        <w:tc>
          <w:tcPr>
            <w:tcW w:type="dxa" w:w="23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Output</w:t>
            </w:r>
          </w:p>
        </w:tc>
        <w:tc>
          <w:tcPr>
            <w:tcW w:type="dxa" w:w="79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2B2B2B"/>
                <w:sz w:val="19"/>
                <w:szCs w:val="19"/>
              </w:rPr>
              <w:t xml:space="preserve">Pro Team ein ausgefülltes Blatt «Ihr Lernweg» und eine kurze Präsentation. Dazu eine Klassensammlung «Was hilft beim Lernen?» und pro SuS drei Porträts, eines davon mit einem Fähigkeitsfenster beschriftet.</w:t>
            </w:r>
          </w:p>
        </w:tc>
      </w:tr>
    </w:tbl>
    <w:p>
      <w:pPr>
        <w:keepNext/>
        <w:spacing w:after="80" w:before="220"/>
      </w:pPr>
      <w:r>
        <w:rPr>
          <w:rFonts w:ascii="Arial" w:cs="Arial" w:eastAsia="Arial" w:hAnsi="Arial"/>
          <w:b/>
          <w:bCs/>
          <w:color w:val="2F6F73"/>
          <w:sz w:val="24"/>
          <w:szCs w:val="24"/>
        </w:rPr>
        <w:t xml:space="preserve">Ablauf</w:t>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
        <w:gridCol w:w="1450"/>
        <w:gridCol w:w="5306"/>
        <w:gridCol w:w="1250"/>
        <w:gridCol w:w="1400"/>
      </w:tblGrid>
      <w:tr>
        <w:trPr>
          <w:cantSplit/>
          <w:tblHeader/>
        </w:trPr>
        <w:tc>
          <w:tcPr>
            <w:tcW w:type="dxa" w:w="800"/>
            <w:tcBorders>
              <w:top w:val="none" w:color="FFFFFF" w:sz="0"/>
              <w:left w:val="none" w:color="FFFFFF" w:sz="0"/>
              <w:bottom w:val="none" w:color="FFFFFF" w:sz="0"/>
              <w:right w:val="none" w:color="FFFFFF" w:sz="0"/>
            </w:tcBorders>
            <w:shd w:fill="2F6F73" w:color="auto" w:val="clear"/>
            <w:tcMar>
              <w:top w:type="dxa" w:w="80"/>
              <w:left w:type="dxa" w:w="120"/>
              <w:bottom w:type="dxa" w:w="80"/>
              <w:right w:type="dxa" w:w="120"/>
            </w:tcMar>
            <w:vAlign w:val="top"/>
          </w:tcPr>
          <w:p>
            <w:pPr>
              <w:spacing w:after="0" w:before="0"/>
            </w:pPr>
            <w:r>
              <w:rPr>
                <w:rFonts w:ascii="Arial" w:cs="Arial" w:eastAsia="Arial" w:hAnsi="Arial"/>
                <w:b/>
                <w:bCs/>
                <w:color w:val="FFFFFF"/>
                <w:sz w:val="18"/>
                <w:szCs w:val="18"/>
              </w:rPr>
              <w:t xml:space="preserve">Zeit</w:t>
            </w:r>
          </w:p>
        </w:tc>
        <w:tc>
          <w:tcPr>
            <w:tcW w:type="dxa" w:w="1450"/>
            <w:tcBorders>
              <w:top w:val="none" w:color="FFFFFF" w:sz="0"/>
              <w:left w:val="none" w:color="FFFFFF" w:sz="0"/>
              <w:bottom w:val="none" w:color="FFFFFF" w:sz="0"/>
              <w:right w:val="none" w:color="FFFFFF" w:sz="0"/>
            </w:tcBorders>
            <w:shd w:fill="2F6F73" w:color="auto" w:val="clear"/>
            <w:tcMar>
              <w:top w:type="dxa" w:w="80"/>
              <w:left w:type="dxa" w:w="120"/>
              <w:bottom w:type="dxa" w:w="80"/>
              <w:right w:type="dxa" w:w="120"/>
            </w:tcMar>
            <w:vAlign w:val="top"/>
          </w:tcPr>
          <w:p>
            <w:pPr>
              <w:spacing w:after="0" w:before="0"/>
            </w:pPr>
            <w:r>
              <w:rPr>
                <w:rFonts w:ascii="Arial" w:cs="Arial" w:eastAsia="Arial" w:hAnsi="Arial"/>
                <w:b/>
                <w:bCs/>
                <w:color w:val="FFFFFF"/>
                <w:sz w:val="18"/>
                <w:szCs w:val="18"/>
              </w:rPr>
              <w:t xml:space="preserve">Phase</w:t>
            </w:r>
          </w:p>
        </w:tc>
        <w:tc>
          <w:tcPr>
            <w:tcW w:type="dxa" w:w="5306"/>
            <w:tcBorders>
              <w:top w:val="none" w:color="FFFFFF" w:sz="0"/>
              <w:left w:val="none" w:color="FFFFFF" w:sz="0"/>
              <w:bottom w:val="none" w:color="FFFFFF" w:sz="0"/>
              <w:right w:val="none" w:color="FFFFFF" w:sz="0"/>
            </w:tcBorders>
            <w:shd w:fill="2F6F73" w:color="auto" w:val="clear"/>
            <w:tcMar>
              <w:top w:type="dxa" w:w="80"/>
              <w:left w:type="dxa" w:w="120"/>
              <w:bottom w:type="dxa" w:w="80"/>
              <w:right w:type="dxa" w:w="120"/>
            </w:tcMar>
            <w:vAlign w:val="top"/>
          </w:tcPr>
          <w:p>
            <w:pPr>
              <w:spacing w:after="0" w:before="0"/>
            </w:pPr>
            <w:r>
              <w:rPr>
                <w:rFonts w:ascii="Arial" w:cs="Arial" w:eastAsia="Arial" w:hAnsi="Arial"/>
                <w:b/>
                <w:bCs/>
                <w:color w:val="FFFFFF"/>
                <w:sz w:val="18"/>
                <w:szCs w:val="18"/>
              </w:rPr>
              <w:t xml:space="preserve">Was passiert?</w:t>
            </w:r>
          </w:p>
        </w:tc>
        <w:tc>
          <w:tcPr>
            <w:tcW w:type="dxa" w:w="1250"/>
            <w:tcBorders>
              <w:top w:val="none" w:color="FFFFFF" w:sz="0"/>
              <w:left w:val="none" w:color="FFFFFF" w:sz="0"/>
              <w:bottom w:val="none" w:color="FFFFFF" w:sz="0"/>
              <w:right w:val="none" w:color="FFFFFF" w:sz="0"/>
            </w:tcBorders>
            <w:shd w:fill="2F6F73" w:color="auto" w:val="clear"/>
            <w:tcMar>
              <w:top w:type="dxa" w:w="80"/>
              <w:left w:type="dxa" w:w="120"/>
              <w:bottom w:type="dxa" w:w="80"/>
              <w:right w:type="dxa" w:w="120"/>
            </w:tcMar>
            <w:vAlign w:val="top"/>
          </w:tcPr>
          <w:p>
            <w:pPr>
              <w:spacing w:after="0" w:before="0"/>
            </w:pPr>
            <w:r>
              <w:rPr>
                <w:rFonts w:ascii="Arial" w:cs="Arial" w:eastAsia="Arial" w:hAnsi="Arial"/>
                <w:b/>
                <w:bCs/>
                <w:color w:val="FFFFFF"/>
                <w:sz w:val="18"/>
                <w:szCs w:val="18"/>
              </w:rPr>
              <w:t xml:space="preserve">Sozialform</w:t>
            </w:r>
          </w:p>
        </w:tc>
        <w:tc>
          <w:tcPr>
            <w:tcW w:type="dxa" w:w="1400"/>
            <w:tcBorders>
              <w:top w:val="none" w:color="FFFFFF" w:sz="0"/>
              <w:left w:val="none" w:color="FFFFFF" w:sz="0"/>
              <w:bottom w:val="none" w:color="FFFFFF" w:sz="0"/>
              <w:right w:val="none" w:color="FFFFFF" w:sz="0"/>
            </w:tcBorders>
            <w:shd w:fill="2F6F73" w:color="auto" w:val="clear"/>
            <w:tcMar>
              <w:top w:type="dxa" w:w="80"/>
              <w:left w:type="dxa" w:w="120"/>
              <w:bottom w:type="dxa" w:w="80"/>
              <w:right w:type="dxa" w:w="120"/>
            </w:tcMar>
            <w:vAlign w:val="top"/>
          </w:tcPr>
          <w:p>
            <w:pPr>
              <w:spacing w:after="0" w:before="0"/>
            </w:pPr>
            <w:r>
              <w:rPr>
                <w:rFonts w:ascii="Arial" w:cs="Arial" w:eastAsia="Arial" w:hAnsi="Arial"/>
                <w:b/>
                <w:bCs/>
                <w:color w:val="FFFFFF"/>
                <w:sz w:val="18"/>
                <w:szCs w:val="18"/>
              </w:rPr>
              <w:t xml:space="preserve">Material</w:t>
            </w:r>
          </w:p>
        </w:tc>
      </w:tr>
      <w:tr>
        <w:trPr>
          <w:cantSplit/>
        </w:trPr>
        <w:tc>
          <w:tcPr>
            <w:tcW w:type="dxa" w:w="80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b/>
                <w:bCs/>
                <w:color w:val="C86A2E"/>
                <w:sz w:val="19"/>
                <w:szCs w:val="19"/>
              </w:rPr>
              <w:t xml:space="preserve">3'</w:t>
            </w:r>
          </w:p>
        </w:tc>
        <w:tc>
          <w:tcPr>
            <w:tcW w:type="dxa" w:w="145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A · Einstieg</w:t>
            </w:r>
          </w:p>
        </w:tc>
        <w:tc>
          <w:tcPr>
            <w:tcW w:type="dxa" w:w="5306"/>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30" w:before="0"/>
            </w:pPr>
            <w:r>
              <w:rPr>
                <w:rFonts w:ascii="Arial" w:cs="Arial" w:eastAsia="Arial" w:hAnsi="Arial"/>
                <w:b/>
                <w:bCs/>
                <w:color w:val="2F6F73"/>
                <w:sz w:val="18"/>
                <w:szCs w:val="18"/>
              </w:rPr>
              <w:t xml:space="preserve">LP: </w:t>
            </w:r>
            <w:r>
              <w:rPr>
                <w:rFonts w:ascii="Arial" w:cs="Arial" w:eastAsia="Arial" w:hAnsi="Arial"/>
                <w:color w:val="2B2B2B"/>
                <w:sz w:val="18"/>
                <w:szCs w:val="18"/>
              </w:rPr>
              <w:t xml:space="preserve">Frage stellen: «Wie wird man richtig gut in etwas?» Kurz sammeln.</w:t>
            </w:r>
          </w:p>
          <w:p>
            <w:pPr>
              <w:spacing w:after="30" w:before="0"/>
            </w:pPr>
            <w:r>
              <w:rPr>
                <w:rFonts w:ascii="Arial" w:cs="Arial" w:eastAsia="Arial" w:hAnsi="Arial"/>
                <w:b/>
                <w:bCs/>
                <w:color w:val="C86A2E"/>
                <w:sz w:val="18"/>
                <w:szCs w:val="18"/>
              </w:rPr>
              <w:t xml:space="preserve">SuS: </w:t>
            </w:r>
            <w:r>
              <w:rPr>
                <w:rFonts w:ascii="Arial" w:cs="Arial" w:eastAsia="Arial" w:hAnsi="Arial"/>
                <w:color w:val="2B2B2B"/>
                <w:sz w:val="18"/>
                <w:szCs w:val="18"/>
              </w:rPr>
              <w:t xml:space="preserve">Nennen Ideen.</w:t>
            </w:r>
          </w:p>
        </w:tc>
        <w:tc>
          <w:tcPr>
            <w:tcW w:type="dxa" w:w="125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6B6B6B"/>
                <w:sz w:val="17"/>
                <w:szCs w:val="17"/>
              </w:rPr>
              <w:t xml:space="preserve">Plenum</w:t>
            </w:r>
          </w:p>
        </w:tc>
        <w:tc>
          <w:tcPr>
            <w:tcW w:type="dxa" w:w="140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6B6B6B"/>
                <w:sz w:val="17"/>
                <w:szCs w:val="17"/>
              </w:rPr>
              <w:t xml:space="preserve">Folie 1</w:t>
            </w:r>
          </w:p>
        </w:tc>
      </w:tr>
      <w:tr>
        <w:trPr>
          <w:cantSplit/>
        </w:trPr>
        <w:tc>
          <w:tcPr>
            <w:tcW w:type="dxa" w:w="80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C86A2E"/>
                <w:sz w:val="19"/>
                <w:szCs w:val="19"/>
              </w:rPr>
              <w:t xml:space="preserve">7'</w:t>
            </w:r>
          </w:p>
        </w:tc>
        <w:tc>
          <w:tcPr>
            <w:tcW w:type="dxa" w:w="145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A · Video</w:t>
            </w:r>
          </w:p>
        </w:tc>
        <w:tc>
          <w:tcPr>
            <w:tcW w:type="dxa" w:w="5306"/>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30" w:before="0"/>
            </w:pPr>
            <w:r>
              <w:rPr>
                <w:rFonts w:ascii="Arial" w:cs="Arial" w:eastAsia="Arial" w:hAnsi="Arial"/>
                <w:b/>
                <w:bCs/>
                <w:color w:val="2F6F73"/>
                <w:sz w:val="18"/>
                <w:szCs w:val="18"/>
              </w:rPr>
              <w:t xml:space="preserve">LP: </w:t>
            </w:r>
            <w:r>
              <w:rPr>
                <w:rFonts w:ascii="Arial" w:cs="Arial" w:eastAsia="Arial" w:hAnsi="Arial"/>
                <w:color w:val="2B2B2B"/>
                <w:sz w:val="18"/>
                <w:szCs w:val="18"/>
              </w:rPr>
              <w:t xml:space="preserve">Zitat zeigen und Video abspielen (Einstiegstext unten).</w:t>
            </w:r>
          </w:p>
          <w:p>
            <w:pPr>
              <w:spacing w:after="30" w:before="0"/>
            </w:pPr>
            <w:r>
              <w:rPr>
                <w:rFonts w:ascii="Arial" w:cs="Arial" w:eastAsia="Arial" w:hAnsi="Arial"/>
                <w:color w:val="2B2B2B"/>
                <w:sz w:val="18"/>
                <w:szCs w:val="18"/>
              </w:rPr>
              <w:t xml:space="preserve">Fragen: «Was überrascht euch? Was hat Michael Jordan immer wieder getan? Welche Fähigkeitsfenster brauchte er?»</w:t>
            </w:r>
          </w:p>
          <w:p>
            <w:pPr>
              <w:spacing w:after="30" w:before="0"/>
            </w:pPr>
            <w:r>
              <w:rPr>
                <w:rFonts w:ascii="Arial" w:cs="Arial" w:eastAsia="Arial" w:hAnsi="Arial"/>
                <w:b/>
                <w:bCs/>
                <w:color w:val="C86A2E"/>
                <w:sz w:val="18"/>
                <w:szCs w:val="18"/>
              </w:rPr>
              <w:t xml:space="preserve">SuS: </w:t>
            </w:r>
            <w:r>
              <w:rPr>
                <w:rFonts w:ascii="Arial" w:cs="Arial" w:eastAsia="Arial" w:hAnsi="Arial"/>
                <w:color w:val="2B2B2B"/>
                <w:sz w:val="18"/>
                <w:szCs w:val="18"/>
              </w:rPr>
              <w:t xml:space="preserve">Schauen zu, antworten.</w:t>
            </w:r>
          </w:p>
        </w:tc>
        <w:tc>
          <w:tcPr>
            <w:tcW w:type="dxa" w:w="125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color w:val="6B6B6B"/>
                <w:sz w:val="17"/>
                <w:szCs w:val="17"/>
              </w:rPr>
              <w:t xml:space="preserve">Plenum</w:t>
            </w:r>
          </w:p>
        </w:tc>
        <w:tc>
          <w:tcPr>
            <w:tcW w:type="dxa" w:w="140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color w:val="6B6B6B"/>
                <w:sz w:val="17"/>
                <w:szCs w:val="17"/>
              </w:rPr>
              <w:t xml:space="preserve">Folien 2–4, Video</w:t>
            </w:r>
          </w:p>
        </w:tc>
      </w:tr>
      <w:tr>
        <w:trPr>
          <w:cantSplit/>
        </w:trPr>
        <w:tc>
          <w:tcPr>
            <w:tcW w:type="dxa" w:w="80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b/>
                <w:bCs/>
                <w:color w:val="C86A2E"/>
                <w:sz w:val="19"/>
                <w:szCs w:val="19"/>
              </w:rPr>
              <w:t xml:space="preserve">5'</w:t>
            </w:r>
          </w:p>
        </w:tc>
        <w:tc>
          <w:tcPr>
            <w:tcW w:type="dxa" w:w="145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A · Auftrag</w:t>
            </w:r>
          </w:p>
        </w:tc>
        <w:tc>
          <w:tcPr>
            <w:tcW w:type="dxa" w:w="5306"/>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30" w:before="0"/>
            </w:pPr>
            <w:r>
              <w:rPr>
                <w:rFonts w:ascii="Arial" w:cs="Arial" w:eastAsia="Arial" w:hAnsi="Arial"/>
                <w:b/>
                <w:bCs/>
                <w:color w:val="2F6F73"/>
                <w:sz w:val="18"/>
                <w:szCs w:val="18"/>
              </w:rPr>
              <w:t xml:space="preserve">LP: </w:t>
            </w:r>
            <w:r>
              <w:rPr>
                <w:rFonts w:ascii="Arial" w:cs="Arial" w:eastAsia="Arial" w:hAnsi="Arial"/>
                <w:color w:val="2B2B2B"/>
                <w:sz w:val="18"/>
                <w:szCs w:val="18"/>
              </w:rPr>
              <w:t xml:space="preserve">Zweierteams bilden. Vorbild wählen lassen (Liste oder Person aus dem Umfeld). Blatt «Ihr Lernweg» mit dem Beispielblatt kurz erklären.</w:t>
            </w:r>
          </w:p>
          <w:p>
            <w:pPr>
              <w:spacing w:after="30" w:before="0"/>
            </w:pPr>
            <w:r>
              <w:rPr>
                <w:rFonts w:ascii="Arial" w:cs="Arial" w:eastAsia="Arial" w:hAnsi="Arial"/>
                <w:b/>
                <w:bCs/>
                <w:color w:val="C86A2E"/>
                <w:sz w:val="18"/>
                <w:szCs w:val="18"/>
              </w:rPr>
              <w:t xml:space="preserve">SuS: </w:t>
            </w:r>
            <w:r>
              <w:rPr>
                <w:rFonts w:ascii="Arial" w:cs="Arial" w:eastAsia="Arial" w:hAnsi="Arial"/>
                <w:color w:val="2B2B2B"/>
                <w:sz w:val="18"/>
                <w:szCs w:val="18"/>
              </w:rPr>
              <w:t xml:space="preserve">Wählen ein Vorbild.</w:t>
            </w:r>
          </w:p>
        </w:tc>
        <w:tc>
          <w:tcPr>
            <w:tcW w:type="dxa" w:w="125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6B6B6B"/>
                <w:sz w:val="17"/>
                <w:szCs w:val="17"/>
              </w:rPr>
              <w:t xml:space="preserve">zu zweit</w:t>
            </w:r>
          </w:p>
        </w:tc>
        <w:tc>
          <w:tcPr>
            <w:tcW w:type="dxa" w:w="140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6B6B6B"/>
                <w:sz w:val="17"/>
                <w:szCs w:val="17"/>
              </w:rPr>
              <w:t xml:space="preserve">Folie 5, Liste, Blatt, Beispiel</w:t>
            </w:r>
          </w:p>
        </w:tc>
      </w:tr>
      <w:tr>
        <w:trPr>
          <w:cantSplit/>
        </w:trPr>
        <w:tc>
          <w:tcPr>
            <w:tcW w:type="dxa" w:w="80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C86A2E"/>
                <w:sz w:val="19"/>
                <w:szCs w:val="19"/>
              </w:rPr>
              <w:t xml:space="preserve">30'</w:t>
            </w:r>
          </w:p>
        </w:tc>
        <w:tc>
          <w:tcPr>
            <w:tcW w:type="dxa" w:w="145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A · Recherche</w:t>
            </w:r>
          </w:p>
        </w:tc>
        <w:tc>
          <w:tcPr>
            <w:tcW w:type="dxa" w:w="5306"/>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30" w:before="0"/>
            </w:pPr>
            <w:r>
              <w:rPr>
                <w:rFonts w:ascii="Arial" w:cs="Arial" w:eastAsia="Arial" w:hAnsi="Arial"/>
                <w:b/>
                <w:bCs/>
                <w:color w:val="2F6F73"/>
                <w:sz w:val="18"/>
                <w:szCs w:val="18"/>
              </w:rPr>
              <w:t xml:space="preserve">LP: </w:t>
            </w:r>
            <w:r>
              <w:rPr>
                <w:rFonts w:ascii="Arial" w:cs="Arial" w:eastAsia="Arial" w:hAnsi="Arial"/>
                <w:color w:val="2B2B2B"/>
                <w:sz w:val="18"/>
                <w:szCs w:val="18"/>
              </w:rPr>
              <w:t xml:space="preserve">Teams begleiten, auf Quellen achten, bei der Stundenschätzung helfen.</w:t>
            </w:r>
          </w:p>
          <w:p>
            <w:pPr>
              <w:spacing w:after="30" w:before="0"/>
            </w:pPr>
            <w:r>
              <w:rPr>
                <w:rFonts w:ascii="Arial" w:cs="Arial" w:eastAsia="Arial" w:hAnsi="Arial"/>
                <w:color w:val="2B2B2B"/>
                <w:sz w:val="18"/>
                <w:szCs w:val="18"/>
              </w:rPr>
              <w:t xml:space="preserve">Teams mit einem Vorbild aus dem Umfeld bereiten Fragen vor und führen das Gespräch als Hausaufgabe.</w:t>
            </w:r>
          </w:p>
          <w:p>
            <w:pPr>
              <w:spacing w:after="30" w:before="0"/>
            </w:pPr>
            <w:r>
              <w:rPr>
                <w:rFonts w:ascii="Arial" w:cs="Arial" w:eastAsia="Arial" w:hAnsi="Arial"/>
                <w:b/>
                <w:bCs/>
                <w:color w:val="C86A2E"/>
                <w:sz w:val="18"/>
                <w:szCs w:val="18"/>
              </w:rPr>
              <w:t xml:space="preserve">SuS: </w:t>
            </w:r>
            <w:r>
              <w:rPr>
                <w:rFonts w:ascii="Arial" w:cs="Arial" w:eastAsia="Arial" w:hAnsi="Arial"/>
                <w:color w:val="2B2B2B"/>
                <w:sz w:val="18"/>
                <w:szCs w:val="18"/>
              </w:rPr>
              <w:t xml:space="preserve">Recherchieren und füllen das Blatt aus.</w:t>
            </w:r>
          </w:p>
        </w:tc>
        <w:tc>
          <w:tcPr>
            <w:tcW w:type="dxa" w:w="125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color w:val="6B6B6B"/>
                <w:sz w:val="17"/>
                <w:szCs w:val="17"/>
              </w:rPr>
              <w:t xml:space="preserve">zu zweit</w:t>
            </w:r>
          </w:p>
        </w:tc>
        <w:tc>
          <w:tcPr>
            <w:tcW w:type="dxa" w:w="140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color w:val="6B6B6B"/>
                <w:sz w:val="17"/>
                <w:szCs w:val="17"/>
              </w:rPr>
              <w:t xml:space="preserve">Blatt, Recherchezugang, Kurzporträts</w:t>
            </w:r>
          </w:p>
        </w:tc>
      </w:tr>
      <w:tr>
        <w:trPr>
          <w:cantSplit/>
        </w:trPr>
        <w:tc>
          <w:tcPr>
            <w:tcW w:type="dxa" w:w="80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b/>
                <w:bCs/>
                <w:color w:val="C86A2E"/>
                <w:sz w:val="19"/>
                <w:szCs w:val="19"/>
              </w:rPr>
              <w:t xml:space="preserve">2'</w:t>
            </w:r>
          </w:p>
        </w:tc>
        <w:tc>
          <w:tcPr>
            <w:tcW w:type="dxa" w:w="145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B · Gruppen</w:t>
            </w:r>
          </w:p>
        </w:tc>
        <w:tc>
          <w:tcPr>
            <w:tcW w:type="dxa" w:w="5306"/>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30" w:before="0"/>
            </w:pPr>
            <w:r>
              <w:rPr>
                <w:rFonts w:ascii="Arial" w:cs="Arial" w:eastAsia="Arial" w:hAnsi="Arial"/>
                <w:b/>
                <w:bCs/>
                <w:color w:val="2F6F73"/>
                <w:sz w:val="18"/>
                <w:szCs w:val="18"/>
              </w:rPr>
              <w:t xml:space="preserve">LP: </w:t>
            </w:r>
            <w:r>
              <w:rPr>
                <w:rFonts w:ascii="Arial" w:cs="Arial" w:eastAsia="Arial" w:hAnsi="Arial"/>
                <w:color w:val="2B2B2B"/>
                <w:sz w:val="18"/>
                <w:szCs w:val="18"/>
              </w:rPr>
              <w:t xml:space="preserve">Je drei Teams bilden eine Präsentationsgruppe. Ablauf und Beobachtungsauftrag zeigen.</w:t>
            </w:r>
          </w:p>
          <w:p>
            <w:pPr>
              <w:spacing w:after="30" w:before="0"/>
            </w:pPr>
            <w:r>
              <w:rPr>
                <w:rFonts w:ascii="Arial" w:cs="Arial" w:eastAsia="Arial" w:hAnsi="Arial"/>
                <w:b/>
                <w:bCs/>
                <w:color w:val="C86A2E"/>
                <w:sz w:val="18"/>
                <w:szCs w:val="18"/>
              </w:rPr>
              <w:t xml:space="preserve">SuS: </w:t>
            </w:r>
            <w:r>
              <w:rPr>
                <w:rFonts w:ascii="Arial" w:cs="Arial" w:eastAsia="Arial" w:hAnsi="Arial"/>
                <w:color w:val="2B2B2B"/>
                <w:sz w:val="18"/>
                <w:szCs w:val="18"/>
              </w:rPr>
              <w:t xml:space="preserve">Finden sich in Gruppen.</w:t>
            </w:r>
          </w:p>
        </w:tc>
        <w:tc>
          <w:tcPr>
            <w:tcW w:type="dxa" w:w="125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6B6B6B"/>
                <w:sz w:val="17"/>
                <w:szCs w:val="17"/>
              </w:rPr>
              <w:t xml:space="preserve">Kleingruppen</w:t>
            </w:r>
          </w:p>
        </w:tc>
        <w:tc>
          <w:tcPr>
            <w:tcW w:type="dxa" w:w="140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6B6B6B"/>
                <w:sz w:val="17"/>
                <w:szCs w:val="17"/>
              </w:rPr>
              <w:t xml:space="preserve">Folie 6</w:t>
            </w:r>
          </w:p>
        </w:tc>
      </w:tr>
      <w:tr>
        <w:trPr>
          <w:cantSplit/>
        </w:trPr>
        <w:tc>
          <w:tcPr>
            <w:tcW w:type="dxa" w:w="80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C86A2E"/>
                <w:sz w:val="19"/>
                <w:szCs w:val="19"/>
              </w:rPr>
              <w:t xml:space="preserve">12'</w:t>
            </w:r>
          </w:p>
        </w:tc>
        <w:tc>
          <w:tcPr>
            <w:tcW w:type="dxa" w:w="145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B · Präsentieren</w:t>
            </w:r>
          </w:p>
        </w:tc>
        <w:tc>
          <w:tcPr>
            <w:tcW w:type="dxa" w:w="5306"/>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30" w:before="0"/>
            </w:pPr>
            <w:r>
              <w:rPr>
                <w:rFonts w:ascii="Arial" w:cs="Arial" w:eastAsia="Arial" w:hAnsi="Arial"/>
                <w:b/>
                <w:bCs/>
                <w:color w:val="2F6F73"/>
                <w:sz w:val="18"/>
                <w:szCs w:val="18"/>
              </w:rPr>
              <w:t xml:space="preserve">LP: </w:t>
            </w:r>
            <w:r>
              <w:rPr>
                <w:rFonts w:ascii="Arial" w:cs="Arial" w:eastAsia="Arial" w:hAnsi="Arial"/>
                <w:color w:val="2B2B2B"/>
                <w:sz w:val="18"/>
                <w:szCs w:val="18"/>
              </w:rPr>
              <w:t xml:space="preserve">Zeit ansagen (2–3 Minuten pro Team), herumgehen, zuhören.</w:t>
            </w:r>
          </w:p>
          <w:p>
            <w:pPr>
              <w:spacing w:after="30" w:before="0"/>
            </w:pPr>
            <w:r>
              <w:rPr>
                <w:rFonts w:ascii="Arial" w:cs="Arial" w:eastAsia="Arial" w:hAnsi="Arial"/>
                <w:b/>
                <w:bCs/>
                <w:color w:val="C86A2E"/>
                <w:sz w:val="18"/>
                <w:szCs w:val="18"/>
              </w:rPr>
              <w:t xml:space="preserve">SuS: </w:t>
            </w:r>
            <w:r>
              <w:rPr>
                <w:rFonts w:ascii="Arial" w:cs="Arial" w:eastAsia="Arial" w:hAnsi="Arial"/>
                <w:color w:val="2B2B2B"/>
                <w:sz w:val="18"/>
                <w:szCs w:val="18"/>
              </w:rPr>
              <w:t xml:space="preserve">Stellen ihr Vorbild vor. Die Zuhörenden notieren, was dieser Person beim Lernen geholfen hat.</w:t>
            </w:r>
          </w:p>
        </w:tc>
        <w:tc>
          <w:tcPr>
            <w:tcW w:type="dxa" w:w="125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color w:val="6B6B6B"/>
                <w:sz w:val="17"/>
                <w:szCs w:val="17"/>
              </w:rPr>
              <w:t xml:space="preserve">Kleingruppen</w:t>
            </w:r>
          </w:p>
        </w:tc>
        <w:tc>
          <w:tcPr>
            <w:tcW w:type="dxa" w:w="140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color w:val="6B6B6B"/>
                <w:sz w:val="17"/>
                <w:szCs w:val="17"/>
              </w:rPr>
              <w:t xml:space="preserve">Blatt «Ihr Lernweg»</w:t>
            </w:r>
          </w:p>
        </w:tc>
      </w:tr>
      <w:tr>
        <w:trPr>
          <w:cantSplit/>
        </w:trPr>
        <w:tc>
          <w:tcPr>
            <w:tcW w:type="dxa" w:w="80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b/>
                <w:bCs/>
                <w:color w:val="C86A2E"/>
                <w:sz w:val="19"/>
                <w:szCs w:val="19"/>
              </w:rPr>
              <w:t xml:space="preserve">6'</w:t>
            </w:r>
          </w:p>
        </w:tc>
        <w:tc>
          <w:tcPr>
            <w:tcW w:type="dxa" w:w="145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B · Sammeln</w:t>
            </w:r>
          </w:p>
        </w:tc>
        <w:tc>
          <w:tcPr>
            <w:tcW w:type="dxa" w:w="5306"/>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30" w:before="0"/>
            </w:pPr>
            <w:r>
              <w:rPr>
                <w:rFonts w:ascii="Arial" w:cs="Arial" w:eastAsia="Arial" w:hAnsi="Arial"/>
                <w:b/>
                <w:bCs/>
                <w:color w:val="2F6F73"/>
                <w:sz w:val="18"/>
                <w:szCs w:val="18"/>
              </w:rPr>
              <w:t xml:space="preserve">LP: </w:t>
            </w:r>
            <w:r>
              <w:rPr>
                <w:rFonts w:ascii="Arial" w:cs="Arial" w:eastAsia="Arial" w:hAnsi="Arial"/>
                <w:color w:val="2B2B2B"/>
                <w:sz w:val="18"/>
                <w:szCs w:val="18"/>
              </w:rPr>
              <w:t xml:space="preserve">An der Tafel oder direkt auf Folie 7 sammeln, was hilft, um vorwärtszukommen (üben, Fehler machen dürfen, Hilfe holen, dranbleiben …).</w:t>
            </w:r>
          </w:p>
          <w:p>
            <w:pPr>
              <w:spacing w:after="30" w:before="0"/>
            </w:pPr>
            <w:r>
              <w:rPr>
                <w:rFonts w:ascii="Arial" w:cs="Arial" w:eastAsia="Arial" w:hAnsi="Arial"/>
                <w:b/>
                <w:bCs/>
                <w:color w:val="C86A2E"/>
                <w:sz w:val="18"/>
                <w:szCs w:val="18"/>
              </w:rPr>
              <w:t xml:space="preserve">SuS: </w:t>
            </w:r>
            <w:r>
              <w:rPr>
                <w:rFonts w:ascii="Arial" w:cs="Arial" w:eastAsia="Arial" w:hAnsi="Arial"/>
                <w:color w:val="2B2B2B"/>
                <w:sz w:val="18"/>
                <w:szCs w:val="18"/>
              </w:rPr>
              <w:t xml:space="preserve">Bringen Beispiele aus den Präsentationen ein.</w:t>
            </w:r>
          </w:p>
        </w:tc>
        <w:tc>
          <w:tcPr>
            <w:tcW w:type="dxa" w:w="125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6B6B6B"/>
                <w:sz w:val="17"/>
                <w:szCs w:val="17"/>
              </w:rPr>
              <w:t xml:space="preserve">Plenum</w:t>
            </w:r>
          </w:p>
        </w:tc>
        <w:tc>
          <w:tcPr>
            <w:tcW w:type="dxa" w:w="140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6B6B6B"/>
                <w:sz w:val="17"/>
                <w:szCs w:val="17"/>
              </w:rPr>
              <w:t xml:space="preserve">Folie 7 oder Tafel</w:t>
            </w:r>
          </w:p>
        </w:tc>
      </w:tr>
      <w:tr>
        <w:trPr>
          <w:cantSplit/>
        </w:trPr>
        <w:tc>
          <w:tcPr>
            <w:tcW w:type="dxa" w:w="80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C86A2E"/>
                <w:sz w:val="19"/>
                <w:szCs w:val="19"/>
              </w:rPr>
              <w:t xml:space="preserve">6'</w:t>
            </w:r>
          </w:p>
        </w:tc>
        <w:tc>
          <w:tcPr>
            <w:tcW w:type="dxa" w:w="145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C · Be a Picasso</w:t>
            </w:r>
          </w:p>
        </w:tc>
        <w:tc>
          <w:tcPr>
            <w:tcW w:type="dxa" w:w="5306"/>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30" w:before="0"/>
            </w:pPr>
            <w:r>
              <w:rPr>
                <w:rFonts w:ascii="Arial" w:cs="Arial" w:eastAsia="Arial" w:hAnsi="Arial"/>
                <w:b/>
                <w:bCs/>
                <w:color w:val="2F6F73"/>
                <w:sz w:val="18"/>
                <w:szCs w:val="18"/>
              </w:rPr>
              <w:t xml:space="preserve">LP: </w:t>
            </w:r>
            <w:r>
              <w:rPr>
                <w:rFonts w:ascii="Arial" w:cs="Arial" w:eastAsia="Arial" w:hAnsi="Arial"/>
                <w:color w:val="2B2B2B"/>
                <w:sz w:val="18"/>
                <w:szCs w:val="18"/>
              </w:rPr>
              <w:t xml:space="preserve">Regeln zeigen und drei Runden à 60 Sekunden ansagen.</w:t>
            </w:r>
          </w:p>
          <w:p>
            <w:pPr>
              <w:spacing w:after="30" w:before="0"/>
            </w:pPr>
            <w:r>
              <w:rPr>
                <w:rFonts w:ascii="Arial" w:cs="Arial" w:eastAsia="Arial" w:hAnsi="Arial"/>
                <w:b/>
                <w:bCs/>
                <w:color w:val="C86A2E"/>
                <w:sz w:val="18"/>
                <w:szCs w:val="18"/>
              </w:rPr>
              <w:t xml:space="preserve">SuS: </w:t>
            </w:r>
            <w:r>
              <w:rPr>
                <w:rFonts w:ascii="Arial" w:cs="Arial" w:eastAsia="Arial" w:hAnsi="Arial"/>
                <w:color w:val="2B2B2B"/>
                <w:sz w:val="18"/>
                <w:szCs w:val="18"/>
              </w:rPr>
              <w:t xml:space="preserve">Porträtieren sich gegenseitig, ohne aufs Blatt zu schauen. Signieren, schenken, wechseln.</w:t>
            </w:r>
          </w:p>
        </w:tc>
        <w:tc>
          <w:tcPr>
            <w:tcW w:type="dxa" w:w="125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color w:val="6B6B6B"/>
                <w:sz w:val="17"/>
                <w:szCs w:val="17"/>
              </w:rPr>
              <w:t xml:space="preserve">zu zweit, wechselnd</w:t>
            </w:r>
          </w:p>
        </w:tc>
        <w:tc>
          <w:tcPr>
            <w:tcW w:type="dxa" w:w="140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color w:val="6B6B6B"/>
                <w:sz w:val="17"/>
                <w:szCs w:val="17"/>
              </w:rPr>
              <w:t xml:space="preserve">Folie 8, Vorlage, Filzstifte</w:t>
            </w:r>
          </w:p>
        </w:tc>
      </w:tr>
      <w:tr>
        <w:trPr>
          <w:cantSplit/>
        </w:trPr>
        <w:tc>
          <w:tcPr>
            <w:tcW w:type="dxa" w:w="80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b/>
                <w:bCs/>
                <w:color w:val="C86A2E"/>
                <w:sz w:val="19"/>
                <w:szCs w:val="19"/>
              </w:rPr>
              <w:t xml:space="preserve">4'</w:t>
            </w:r>
          </w:p>
        </w:tc>
        <w:tc>
          <w:tcPr>
            <w:tcW w:type="dxa" w:w="145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C · Festhalten</w:t>
            </w:r>
          </w:p>
        </w:tc>
        <w:tc>
          <w:tcPr>
            <w:tcW w:type="dxa" w:w="5306"/>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30" w:before="0"/>
            </w:pPr>
            <w:r>
              <w:rPr>
                <w:rFonts w:ascii="Arial" w:cs="Arial" w:eastAsia="Arial" w:hAnsi="Arial"/>
                <w:b/>
                <w:bCs/>
                <w:color w:val="2F6F73"/>
                <w:sz w:val="18"/>
                <w:szCs w:val="18"/>
              </w:rPr>
              <w:t xml:space="preserve">LP: </w:t>
            </w:r>
            <w:r>
              <w:rPr>
                <w:rFonts w:ascii="Arial" w:cs="Arial" w:eastAsia="Arial" w:hAnsi="Arial"/>
                <w:color w:val="2B2B2B"/>
                <w:sz w:val="18"/>
                <w:szCs w:val="18"/>
              </w:rPr>
              <w:t xml:space="preserve">Auftrag geben: Lieblingsporträt wählen und beschriften.</w:t>
            </w:r>
          </w:p>
          <w:p>
            <w:pPr>
              <w:spacing w:after="30" w:before="0"/>
            </w:pPr>
            <w:r>
              <w:rPr>
                <w:rFonts w:ascii="Arial" w:cs="Arial" w:eastAsia="Arial" w:hAnsi="Arial"/>
                <w:b/>
                <w:bCs/>
                <w:color w:val="C86A2E"/>
                <w:sz w:val="18"/>
                <w:szCs w:val="18"/>
              </w:rPr>
              <w:t xml:space="preserve">SuS: </w:t>
            </w:r>
            <w:r>
              <w:rPr>
                <w:rFonts w:ascii="Arial" w:cs="Arial" w:eastAsia="Arial" w:hAnsi="Arial"/>
                <w:color w:val="2B2B2B"/>
                <w:sz w:val="18"/>
                <w:szCs w:val="18"/>
              </w:rPr>
              <w:t xml:space="preserve">Schreiben ein Fähigkeitsfenster auf, das sie heute besonders gebraucht haben, und wobei.</w:t>
            </w:r>
          </w:p>
        </w:tc>
        <w:tc>
          <w:tcPr>
            <w:tcW w:type="dxa" w:w="125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6B6B6B"/>
                <w:sz w:val="17"/>
                <w:szCs w:val="17"/>
              </w:rPr>
              <w:t xml:space="preserve">Einzelarbeit</w:t>
            </w:r>
          </w:p>
        </w:tc>
        <w:tc>
          <w:tcPr>
            <w:tcW w:type="dxa" w:w="140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6B6B6B"/>
                <w:sz w:val="17"/>
                <w:szCs w:val="17"/>
              </w:rPr>
              <w:t xml:space="preserve">Folie 9</w:t>
            </w:r>
          </w:p>
        </w:tc>
      </w:tr>
    </w:tbl>
    <w:p>
      <w:pPr>
        <w:spacing w:after="80" w:before="0"/>
      </w:pPr>
      <w:r>
        <w:rPr>
          <w:rFonts w:ascii="Arial" w:cs="Arial" w:eastAsia="Arial" w:hAnsi="Arial"/>
          <w:color w:val="2B2B2B"/>
          <w:sz w:val="21"/>
          <w:szCs w:val="21"/>
        </w:rPr>
        <w:t xml:space="preserve"/>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06"/>
      </w:tblGrid>
      <w:tr>
        <w:trPr>
          <w:cantSplit/>
        </w:trPr>
        <w:tc>
          <w:tcPr>
            <w:tcW w:type="dxa" w:w="10206"/>
            <w:tcBorders>
              <w:top w:val="none" w:color="FFFFFF" w:sz="0"/>
              <w:left w:val="none" w:color="FFFFFF" w:sz="0"/>
              <w:bottom w:val="none" w:color="FFFFFF" w:sz="0"/>
              <w:right w:val="none" w:color="FFFFFF" w:sz="0"/>
            </w:tcBorders>
            <w:shd w:fill="E1ECEC" w:color="auto" w:val="clear"/>
            <w:tcMar>
              <w:top w:type="dxa" w:w="140"/>
              <w:left w:type="dxa" w:w="200"/>
              <w:bottom w:type="dxa" w:w="140"/>
              <w:right w:type="dxa" w:w="200"/>
            </w:tcMar>
            <w:vAlign w:val="top"/>
          </w:tcPr>
          <w:p>
            <w:pPr>
              <w:spacing w:after="60" w:before="0"/>
            </w:pPr>
            <w:r>
              <w:rPr>
                <w:rFonts w:ascii="Arial" w:cs="Arial" w:eastAsia="Arial" w:hAnsi="Arial"/>
                <w:b/>
                <w:bCs/>
                <w:color w:val="2F6F73"/>
                <w:sz w:val="20"/>
                <w:szCs w:val="20"/>
              </w:rPr>
              <w:t xml:space="preserve">So kann die Lehrperson einsteigen</w:t>
            </w:r>
          </w:p>
          <w:p>
            <w:pPr>
              <w:spacing w:after="40" w:before="0"/>
            </w:pPr>
            <w:r>
              <w:rPr>
                <w:rFonts w:ascii="Arial" w:cs="Arial" w:eastAsia="Arial" w:hAnsi="Arial"/>
                <w:i/>
                <w:iCs/>
                <w:color w:val="2B2B2B"/>
                <w:sz w:val="19"/>
                <w:szCs w:val="19"/>
              </w:rPr>
              <w:t xml:space="preserve">«Michael Jordan gilt als einer der besten Basketballspieler aller Zeiten. Aber war er immer so gut?</w:t>
            </w:r>
          </w:p>
          <w:p>
            <w:pPr>
              <w:spacing w:after="40" w:before="0"/>
            </w:pPr>
            <w:r>
              <w:rPr>
                <w:rFonts w:ascii="Arial" w:cs="Arial" w:eastAsia="Arial" w:hAnsi="Arial"/>
                <w:i/>
                <w:iCs/>
                <w:color w:val="2B2B2B"/>
                <w:sz w:val="19"/>
                <w:szCs w:val="19"/>
              </w:rPr>
              <w:t xml:space="preserve">Er sagt über sich: Ich habe in meiner Karriere mehr als 9000 Würfe verfehlt. Ich habe fast 300 Spiele verloren. Ich bin immer und immer wieder gescheitert. Und genau darum habe ich Erfolg. Schaut im Video genau hin, was er immer wieder tut.»</w:t>
            </w:r>
          </w:p>
        </w:tc>
      </w:tr>
    </w:tbl>
    <w:p>
      <w:pPr>
        <w:keepNext/>
        <w:spacing w:after="80" w:before="220"/>
      </w:pPr>
      <w:r>
        <w:rPr>
          <w:rFonts w:ascii="Arial" w:cs="Arial" w:eastAsia="Arial" w:hAnsi="Arial"/>
          <w:b/>
          <w:bCs/>
          <w:color w:val="2F6F73"/>
          <w:sz w:val="24"/>
          <w:szCs w:val="24"/>
        </w:rPr>
        <w:t xml:space="preserve">Tipps &amp; Stolpersteine</w:t>
      </w:r>
    </w:p>
    <w:p>
      <w:pPr>
        <w:pStyle w:val="ListParagraph"/>
        <w:numPr>
          <w:ilvl w:val="0"/>
          <w:numId w:val="2"/>
        </w:numPr>
        <w:spacing w:after="40" w:before="0"/>
      </w:pPr>
      <w:r>
        <w:rPr>
          <w:rFonts w:ascii="Arial" w:cs="Arial" w:eastAsia="Arial" w:hAnsi="Arial"/>
          <w:color w:val="2B2B2B"/>
          <w:sz w:val="19"/>
          <w:szCs w:val="19"/>
        </w:rPr>
        <w:t xml:space="preserve">Vielfalt bei der Wahl fördern. Die Liste enthält Frauen und Männer zu allen acht Fähigkeitsfenstern. Rollenbilder dürfen zum Thema werden (NMG.6.2c).</w:t>
      </w:r>
    </w:p>
    <w:p>
      <w:pPr>
        <w:pStyle w:val="ListParagraph"/>
        <w:numPr>
          <w:ilvl w:val="0"/>
          <w:numId w:val="2"/>
        </w:numPr>
        <w:spacing w:after="40" w:before="0"/>
      </w:pPr>
      <w:r>
        <w:rPr>
          <w:rFonts w:ascii="Arial" w:cs="Arial" w:eastAsia="Arial" w:hAnsi="Arial"/>
          <w:color w:val="2B2B2B"/>
          <w:sz w:val="19"/>
          <w:szCs w:val="19"/>
        </w:rPr>
        <w:t xml:space="preserve">Für die Recherche eignen sich Kindersuchmaschinen (fragFINN, Blinde Kuh) und das Klexikon. Für schwächere Teams liegen drei Kurzporträts mit Quellen bereit.</w:t>
      </w:r>
    </w:p>
    <w:p>
      <w:pPr>
        <w:pStyle w:val="ListParagraph"/>
        <w:numPr>
          <w:ilvl w:val="0"/>
          <w:numId w:val="2"/>
        </w:numPr>
        <w:spacing w:after="40" w:before="0"/>
      </w:pPr>
      <w:r>
        <w:rPr>
          <w:rFonts w:ascii="Arial" w:cs="Arial" w:eastAsia="Arial" w:hAnsi="Arial"/>
          <w:color w:val="2B2B2B"/>
          <w:sz w:val="19"/>
          <w:szCs w:val="19"/>
        </w:rPr>
        <w:t xml:space="preserve">Bei der Stundenschätzung geht es ums Staunen. Die genaue Zahl ist nicht wichtig. Nebenbei üben die Kinder das Fähigkeitsfenster Knobeln.</w:t>
      </w:r>
    </w:p>
    <w:p>
      <w:pPr>
        <w:pStyle w:val="ListParagraph"/>
        <w:numPr>
          <w:ilvl w:val="0"/>
          <w:numId w:val="2"/>
        </w:numPr>
        <w:spacing w:after="40" w:before="0"/>
      </w:pPr>
      <w:r>
        <w:rPr>
          <w:rFonts w:ascii="Arial" w:cs="Arial" w:eastAsia="Arial" w:hAnsi="Arial"/>
          <w:color w:val="2B2B2B"/>
          <w:sz w:val="19"/>
          <w:szCs w:val="19"/>
        </w:rPr>
        <w:t xml:space="preserve">Präsentieren in Dreiergruppen spart Zeit. Ein Galerierundgang mit den Blättern geht auch.</w:t>
      </w:r>
    </w:p>
    <w:p>
      <w:pPr>
        <w:pStyle w:val="ListParagraph"/>
        <w:numPr>
          <w:ilvl w:val="0"/>
          <w:numId w:val="2"/>
        </w:numPr>
        <w:spacing w:after="40" w:before="0"/>
      </w:pPr>
      <w:r>
        <w:rPr>
          <w:rFonts w:ascii="Arial" w:cs="Arial" w:eastAsia="Arial" w:hAnsi="Arial"/>
          <w:color w:val="2B2B2B"/>
          <w:sz w:val="19"/>
          <w:szCs w:val="19"/>
        </w:rPr>
        <w:t xml:space="preserve">Bei Be a Picasso ist Lachen erwünscht. Die Porträts müssen nicht schön sein. Der Blick bleibt beim Gegenüber.</w:t>
      </w:r>
    </w:p>
    <w:p>
      <w:pPr>
        <w:pStyle w:val="ListParagraph"/>
        <w:numPr>
          <w:ilvl w:val="0"/>
          <w:numId w:val="2"/>
        </w:numPr>
        <w:spacing w:after="40" w:before="0"/>
      </w:pPr>
      <w:r>
        <w:rPr>
          <w:rFonts w:ascii="Arial" w:cs="Arial" w:eastAsia="Arial" w:hAnsi="Arial"/>
          <w:color w:val="2B2B2B"/>
          <w:sz w:val="19"/>
          <w:szCs w:val="19"/>
        </w:rPr>
        <w:t xml:space="preserve">Die Botschaft «Fehler gehören zum Lernen» im Zimmer sichtbar machen. Sie gilt für das ganze Praxisfenster.</w:t>
      </w:r>
    </w:p>
    <w:p>
      <w:pPr>
        <w:pStyle w:val="ListParagraph"/>
        <w:numPr>
          <w:ilvl w:val="0"/>
          <w:numId w:val="2"/>
        </w:numPr>
        <w:spacing w:after="40" w:before="0"/>
      </w:pPr>
      <w:r>
        <w:rPr>
          <w:rFonts w:ascii="Arial" w:cs="Arial" w:eastAsia="Arial" w:hAnsi="Arial"/>
          <w:color w:val="2B2B2B"/>
          <w:sz w:val="19"/>
          <w:szCs w:val="19"/>
        </w:rPr>
        <w:t xml:space="preserve">In einer Projektwoche passt 1.4 auch gut nach dem Besuch, zum Beispiel in den Wochen danach zusammen mit den Journal-Aufträgen.</w:t>
      </w:r>
    </w:p>
    <w:p>
      <w:pPr>
        <w:spacing w:after="60" w:before="0"/>
      </w:pPr>
      <w:r>
        <w:rPr>
          <w:rFonts w:ascii="Arial" w:cs="Arial" w:eastAsia="Arial" w:hAnsi="Arial"/>
          <w:color w:val="2B2B2B"/>
          <w:sz w:val="21"/>
          <w:szCs w:val="21"/>
        </w:rPr>
        <w:t xml:space="preserve"/>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03"/>
        <w:gridCol w:w="5103"/>
      </w:tblGrid>
      <w:tr>
        <w:trPr>
          <w:cantSplit/>
        </w:trPr>
        <w:tc>
          <w:tcPr>
            <w:tcW w:type="dxa" w:w="5103"/>
            <w:tcBorders>
              <w:top w:val="single" w:color="B9C7CF" w:sz="6"/>
              <w:left w:val="single" w:color="B9C7CF" w:sz="6"/>
              <w:bottom w:val="single" w:color="B9C7CF" w:sz="6"/>
              <w:right w:val="single" w:color="B9C7CF" w:sz="6"/>
            </w:tcBorders>
            <w:shd w:fill="E1EC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20"/>
                <w:szCs w:val="20"/>
              </w:rPr>
              <w:t xml:space="preserve">Einfacher</w:t>
            </w:r>
          </w:p>
        </w:tc>
        <w:tc>
          <w:tcPr>
            <w:tcW w:type="dxa" w:w="5103"/>
            <w:tcBorders>
              <w:top w:val="single" w:color="B9C7CF" w:sz="6"/>
              <w:left w:val="single" w:color="B9C7CF" w:sz="6"/>
              <w:bottom w:val="single" w:color="B9C7CF" w:sz="6"/>
              <w:right w:val="single" w:color="B9C7CF" w:sz="6"/>
            </w:tcBorders>
            <w:shd w:fill="F4B183" w:color="auto" w:val="clear"/>
            <w:tcMar>
              <w:top w:type="dxa" w:w="80"/>
              <w:left w:type="dxa" w:w="120"/>
              <w:bottom w:type="dxa" w:w="80"/>
              <w:right w:type="dxa" w:w="120"/>
            </w:tcMar>
            <w:vAlign w:val="top"/>
          </w:tcPr>
          <w:p>
            <w:pPr>
              <w:spacing w:after="0" w:before="0"/>
            </w:pPr>
            <w:r>
              <w:rPr>
                <w:rFonts w:ascii="Arial" w:cs="Arial" w:eastAsia="Arial" w:hAnsi="Arial"/>
                <w:b/>
                <w:bCs/>
                <w:color w:val="1E3A5F"/>
                <w:sz w:val="20"/>
                <w:szCs w:val="20"/>
              </w:rPr>
              <w:t xml:space="preserve">Anspruchsvoller</w:t>
            </w:r>
          </w:p>
        </w:tc>
      </w:tr>
      <w:tr>
        <w:trPr>
          <w:cantSplit/>
        </w:trPr>
        <w:tc>
          <w:tcPr>
            <w:tcW w:type="dxa" w:w="5103"/>
            <w:tcBorders>
              <w:top w:val="single" w:color="B9C7CF" w:sz="6"/>
              <w:left w:val="single" w:color="B9C7CF" w:sz="6"/>
              <w:bottom w:val="single" w:color="B9C7CF" w:sz="6"/>
              <w:right w:val="single" w:color="B9C7CF" w:sz="6"/>
            </w:tcBorders>
            <w:tcMar>
              <w:top w:type="dxa" w:w="80"/>
              <w:left w:type="dxa" w:w="120"/>
              <w:bottom w:type="dxa" w:w="120"/>
              <w:right w:type="dxa" w:w="120"/>
            </w:tcMar>
            <w:vAlign w:val="top"/>
          </w:tcPr>
          <w:p>
            <w:pPr>
              <w:spacing w:after="30" w:before="0"/>
            </w:pPr>
            <w:r>
              <w:rPr>
                <w:rFonts w:ascii="Arial" w:cs="Arial" w:eastAsia="Arial" w:hAnsi="Arial"/>
                <w:color w:val="2B2B2B"/>
                <w:sz w:val="18"/>
                <w:szCs w:val="18"/>
              </w:rPr>
              <w:t xml:space="preserve">• Mit einem Kurzporträt arbeiten statt frei recherchieren.</w:t>
            </w:r>
          </w:p>
          <w:p>
            <w:pPr>
              <w:spacing w:after="30" w:before="0"/>
            </w:pPr>
            <w:r>
              <w:rPr>
                <w:rFonts w:ascii="Arial" w:cs="Arial" w:eastAsia="Arial" w:hAnsi="Arial"/>
                <w:color w:val="2B2B2B"/>
                <w:sz w:val="18"/>
                <w:szCs w:val="18"/>
              </w:rPr>
              <w:t xml:space="preserve">• Nur die Fragen 1, 2, 3 und 5 bearbeiten.</w:t>
            </w:r>
          </w:p>
          <w:p>
            <w:pPr>
              <w:spacing w:after="30" w:before="0"/>
            </w:pPr>
            <w:r>
              <w:rPr>
                <w:rFonts w:ascii="Arial" w:cs="Arial" w:eastAsia="Arial" w:hAnsi="Arial"/>
                <w:color w:val="2B2B2B"/>
                <w:sz w:val="18"/>
                <w:szCs w:val="18"/>
              </w:rPr>
              <w:t xml:space="preserve">• Präsentation mit den Satzanfängen von Folie 6.</w:t>
            </w:r>
          </w:p>
        </w:tc>
        <w:tc>
          <w:tcPr>
            <w:tcW w:type="dxa" w:w="5103"/>
            <w:tcBorders>
              <w:top w:val="single" w:color="B9C7CF" w:sz="6"/>
              <w:left w:val="single" w:color="B9C7CF" w:sz="6"/>
              <w:bottom w:val="single" w:color="B9C7CF" w:sz="6"/>
              <w:right w:val="single" w:color="B9C7CF" w:sz="6"/>
            </w:tcBorders>
            <w:tcMar>
              <w:top w:type="dxa" w:w="80"/>
              <w:left w:type="dxa" w:w="120"/>
              <w:bottom w:type="dxa" w:w="120"/>
              <w:right w:type="dxa" w:w="120"/>
            </w:tcMar>
            <w:vAlign w:val="top"/>
          </w:tcPr>
          <w:p>
            <w:pPr>
              <w:spacing w:after="30" w:before="0"/>
            </w:pPr>
            <w:r>
              <w:rPr>
                <w:rFonts w:ascii="Arial" w:cs="Arial" w:eastAsia="Arial" w:hAnsi="Arial"/>
                <w:color w:val="2B2B2B"/>
                <w:sz w:val="18"/>
                <w:szCs w:val="18"/>
              </w:rPr>
              <w:t xml:space="preserve">• Zwei Vorbilder vergleichen. Was haben ihre Lernwege gemeinsam?</w:t>
            </w:r>
          </w:p>
          <w:p>
            <w:pPr>
              <w:spacing w:after="30" w:before="0"/>
            </w:pPr>
            <w:r>
              <w:rPr>
                <w:rFonts w:ascii="Arial" w:cs="Arial" w:eastAsia="Arial" w:hAnsi="Arial"/>
                <w:color w:val="2B2B2B"/>
                <w:sz w:val="18"/>
                <w:szCs w:val="18"/>
              </w:rPr>
              <w:t xml:space="preserve">• Eine Frage an das Vorbild formulieren (Brief oder Mail).</w:t>
            </w:r>
          </w:p>
          <w:p>
            <w:pPr>
              <w:spacing w:after="30" w:before="0"/>
            </w:pPr>
            <w:r>
              <w:rPr>
                <w:rFonts w:ascii="Arial" w:cs="Arial" w:eastAsia="Arial" w:hAnsi="Arial"/>
                <w:color w:val="2B2B2B"/>
                <w:sz w:val="18"/>
                <w:szCs w:val="18"/>
              </w:rPr>
              <w:t xml:space="preserve">• Die Stundenschätzung mit einer zweiten Quelle prüfen.</w:t>
            </w:r>
          </w:p>
        </w:tc>
      </w:tr>
    </w:tbl>
    <w:p>
      <w:pPr>
        <w:keepNext/>
        <w:spacing w:after="80" w:before="220"/>
      </w:pPr>
      <w:r>
        <w:rPr>
          <w:rFonts w:ascii="Arial" w:cs="Arial" w:eastAsia="Arial" w:hAnsi="Arial"/>
          <w:b/>
          <w:bCs/>
          <w:color w:val="2F6F73"/>
          <w:sz w:val="24"/>
          <w:szCs w:val="24"/>
        </w:rPr>
        <w:t xml:space="preserve">Nach dem Modul</w:t>
      </w:r>
    </w:p>
    <w:p>
      <w:pPr>
        <w:spacing w:after="40" w:before="0"/>
      </w:pPr>
      <w:r>
        <w:rPr>
          <w:rFonts w:ascii="Arial" w:cs="Arial" w:eastAsia="Arial" w:hAnsi="Arial"/>
          <w:b/>
          <w:bCs/>
          <w:color w:val="1E3A5F"/>
          <w:sz w:val="19"/>
          <w:szCs w:val="19"/>
        </w:rPr>
        <w:t xml:space="preserve">Aufbewahren: </w:t>
      </w:r>
      <w:r>
        <w:rPr>
          <w:rFonts w:ascii="Arial" w:cs="Arial" w:eastAsia="Arial" w:hAnsi="Arial"/>
          <w:color w:val="2B2B2B"/>
          <w:sz w:val="19"/>
          <w:szCs w:val="19"/>
        </w:rPr>
        <w:t xml:space="preserve">Blatt «Ihr Lernweg» und das Lieblingsporträt in die Mappe. Die Sammlung «Was hilft beim Lernen?» als Plakat aufhängen.</w:t>
      </w:r>
    </w:p>
    <w:p>
      <w:pPr>
        <w:spacing w:after="0" w:before="0"/>
      </w:pPr>
      <w:r>
        <w:rPr>
          <w:rFonts w:ascii="Arial" w:cs="Arial" w:eastAsia="Arial" w:hAnsi="Arial"/>
          <w:b/>
          <w:bCs/>
          <w:color w:val="1E3A5F"/>
          <w:sz w:val="19"/>
          <w:szCs w:val="19"/>
        </w:rPr>
        <w:t xml:space="preserve">Weiter geht es mit: </w:t>
      </w:r>
      <w:r>
        <w:rPr>
          <w:rFonts w:ascii="Arial" w:cs="Arial" w:eastAsia="Arial" w:hAnsi="Arial"/>
          <w:color w:val="2B2B2B"/>
          <w:sz w:val="19"/>
          <w:szCs w:val="19"/>
        </w:rPr>
        <w:t xml:space="preserve">Modul 1.5 «Journal-Aufträge». In kurzen Aufträgen lernen die Kinder die Fähigkeitsfenster im Alltag kennen.</w:t>
      </w:r>
    </w:p>
    <w:sectPr>
      <w:footerReference w:type="default" r:id="rId7"/>
      <w:pgSz w:w="11906" w:h="16838" w:orient="portrait"/>
      <w:pgMar w:top="850" w:right="850" w:bottom="850" w:left="850" w:header="708"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F6F73" w:sz="6" w:space="4"/>
      </w:pBdr>
      <w:tabs>
        <w:tab w:val="right" w:pos="10206"/>
      </w:tabs>
    </w:pPr>
    <w:r>
      <w:rPr>
        <w:rFonts w:ascii="Arial" w:cs="Arial" w:eastAsia="Arial" w:hAnsi="Arial"/>
        <w:b/>
        <w:bCs/>
        <w:color w:val="2F6F73"/>
        <w:sz w:val="16"/>
        <w:szCs w:val="16"/>
      </w:rPr>
      <w:t xml:space="preserve">Praxisfenster</w:t>
    </w:r>
    <w:r>
      <w:rPr>
        <w:rFonts w:ascii="Arial" w:cs="Arial" w:eastAsia="Arial" w:hAnsi="Arial"/>
        <w:color w:val="6B6B6B"/>
        <w:sz w:val="16"/>
        <w:szCs w:val="16"/>
      </w:rPr>
      <w:t xml:space="preserve">   Ein Blick in die Arbeitswelt. Ein Schritt für mich.</w:t>
    </w:r>
    <w:r>
      <w:rPr>
        <w:rFonts w:ascii="Arial" w:cs="Arial" w:eastAsia="Arial" w:hAnsi="Arial"/>
        <w:color w:val="2F6F73"/>
        <w:sz w:val="16"/>
        <w:szCs w:val="16"/>
      </w:rPr>
      <w:t xml:space="preserve">	Detailplanung 1.4 · Mein Vorbild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B2B2B"/>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71b06ef9a92ef32bdfba6bc49d50524b100e3ef5.png"/><Relationship Id="rId9" Type="http://schemas.openxmlformats.org/officeDocument/2006/relationships/image" Target="media/ffdb9be79d5a38f6948653aa05eecd288c0cff30.png"/><Relationship Id="rId10" Type="http://schemas.openxmlformats.org/officeDocument/2006/relationships/image" Target="media/31de763d8d4c066619cb3a258ad61fb06ffdf49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Detailplanung 1.4 Mein Vorbild</dc:title>
  <dc:creator>Praxisfenster</dc:creator>
  <cp:lastModifiedBy>Un-named</cp:lastModifiedBy>
  <cp:revision>1</cp:revision>
  <dcterms:created xsi:type="dcterms:W3CDTF">2026-10-19T04:42:02.440Z</dcterms:created>
  <dcterms:modified xsi:type="dcterms:W3CDTF">2026-10-19T04:42:02.440Z</dcterms:modified>
</cp:coreProperties>
</file>

<file path=docProps/custom.xml><?xml version="1.0" encoding="utf-8"?>
<Properties xmlns="http://schemas.openxmlformats.org/officeDocument/2006/custom-properties" xmlns:vt="http://schemas.openxmlformats.org/officeDocument/2006/docPropsVTypes"/>
</file>