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300"/>
        <w:gridCol w:w="2906"/>
      </w:tblGrid>
      <w:tr>
        <w:trPr>
          <w:cantSplit/>
        </w:trPr>
        <w:tc>
          <w:tcPr>
            <w:tcW w:type="dxa" w:w="7300"/>
            <w:tcBorders>
              <w:top w:val="none" w:color="FFFFFF" w:sz="0"/>
              <w:left w:val="none" w:color="FFFFFF" w:sz="0"/>
              <w:bottom w:val="none" w:color="FFFFFF" w:sz="0"/>
              <w:right w:val="none" w:color="FFFFFF" w:sz="0"/>
            </w:tcBorders>
            <w:shd w:fill="F8F4EC" w:color="auto" w:val="clear"/>
            <w:tcMar>
              <w:top w:type="dxa" w:w="160"/>
              <w:left w:type="dxa" w:w="200"/>
              <w:bottom w:type="dxa" w:w="160"/>
              <w:right w:type="dxa" w:w="120"/>
            </w:tcMar>
            <w:vAlign w:val="top"/>
          </w:tcPr>
          <w:p>
            <w:pPr>
              <w:spacing w:after="60" w:before="0"/>
            </w:pPr>
            <w:r>
              <w:drawing>
                <wp:inline distT="0" distB="0" distL="0" distR="0">
                  <wp:extent cx="2095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09550" cy="171450"/>
                          </a:xfrm>
                          <a:prstGeom prst="rect">
                            <a:avLst/>
                          </a:prstGeom>
                        </pic:spPr>
                      </pic:pic>
                    </a:graphicData>
                  </a:graphic>
                </wp:inline>
              </w:drawing>
            </w:r>
            <w:r>
              <w:rPr>
                <w:rFonts w:ascii="Arial" w:cs="Arial" w:eastAsia="Arial" w:hAnsi="Arial"/>
                <w:b/>
                <w:bCs/>
                <w:color w:val="2F6F73"/>
                <w:sz w:val="22"/>
                <w:szCs w:val="22"/>
              </w:rPr>
              <w:t xml:space="preserve">  Praxisfenster</w:t>
            </w:r>
          </w:p>
          <w:p>
            <w:pPr>
              <w:spacing w:after="60" w:before="0"/>
            </w:pPr>
            <w:r>
              <w:rPr>
                <w:rFonts w:ascii="Arial" w:cs="Arial" w:eastAsia="Arial" w:hAnsi="Arial"/>
                <w:b/>
                <w:bCs/>
                <w:color w:val="1E3A5F"/>
                <w:sz w:val="17"/>
                <w:szCs w:val="17"/>
                <w:shd w:fill="F4B183" w:color="auto" w:val="clear"/>
              </w:rPr>
              <w:t xml:space="preserve"> Detailplanung 2.2 </w:t>
            </w:r>
          </w:p>
          <w:p>
            <w:pPr>
              <w:spacing w:after="40" w:before="0"/>
            </w:pPr>
            <w:r>
              <w:rPr>
                <w:rFonts w:ascii="Arial" w:cs="Arial" w:eastAsia="Arial" w:hAnsi="Arial"/>
                <w:b/>
                <w:bCs/>
                <w:color w:val="2F6F73"/>
                <w:sz w:val="40"/>
                <w:szCs w:val="40"/>
              </w:rPr>
              <w:t xml:space="preserve">Betriebstypen</w:t>
            </w:r>
          </w:p>
          <w:p>
            <w:pPr>
              <w:spacing w:after="0" w:before="0"/>
            </w:pPr>
            <w:r>
              <w:rPr>
                <w:rFonts w:ascii="Arial" w:cs="Arial" w:eastAsia="Arial" w:hAnsi="Arial"/>
                <w:b/>
                <w:bCs/>
                <w:color w:val="6B6B6B"/>
                <w:sz w:val="20"/>
                <w:szCs w:val="20"/>
              </w:rPr>
              <w:t xml:space="preserve">Teil 2 · Ich im Betrieb</w:t>
            </w:r>
          </w:p>
        </w:tc>
        <w:tc>
          <w:tcPr>
            <w:tcW w:type="dxa" w:w="2906"/>
            <w:tcBorders>
              <w:top w:val="none" w:color="FFFFFF" w:sz="0"/>
              <w:left w:val="none" w:color="FFFFFF" w:sz="0"/>
              <w:bottom w:val="none" w:color="FFFFFF" w:sz="0"/>
              <w:right w:val="none" w:color="FFFFFF" w:sz="0"/>
            </w:tcBorders>
            <w:shd w:fill="F8F4EC" w:color="auto" w:val="clear"/>
            <w:tcMar>
              <w:top w:type="dxa" w:w="160"/>
              <w:left w:type="dxa" w:w="120"/>
              <w:bottom w:type="dxa" w:w="120"/>
              <w:right w:type="dxa" w:w="120"/>
            </w:tcMar>
            <w:vAlign w:val="center"/>
          </w:tcPr>
          <w:p>
            <w:pPr>
              <w:spacing w:after="0" w:before="0"/>
            </w:pPr>
            <w:r>
              <w:rPr>
                <w:rFonts w:ascii="Arial" w:cs="Arial" w:eastAsia="Arial" w:hAnsi="Arial"/>
                <w:b/>
                <w:bCs/>
                <w:color w:val="1E3A5F"/>
                <w:sz w:val="16"/>
                <w:szCs w:val="16"/>
              </w:rPr>
              <w:t xml:space="preserve">Dauer</w:t>
            </w:r>
          </w:p>
          <w:p>
            <w:pPr>
              <w:spacing w:after="70" w:before="0"/>
            </w:pPr>
            <w:r>
              <w:rPr>
                <w:rFonts w:ascii="Arial" w:cs="Arial" w:eastAsia="Arial" w:hAnsi="Arial"/>
                <w:color w:val="2B2B2B"/>
                <w:sz w:val="18"/>
                <w:szCs w:val="18"/>
              </w:rPr>
              <w:t xml:space="preserve">30'</w:t>
            </w:r>
          </w:p>
          <w:p>
            <w:pPr>
              <w:spacing w:after="0" w:before="0"/>
            </w:pPr>
            <w:r>
              <w:rPr>
                <w:rFonts w:ascii="Arial" w:cs="Arial" w:eastAsia="Arial" w:hAnsi="Arial"/>
                <w:b/>
                <w:bCs/>
                <w:color w:val="1E3A5F"/>
                <w:sz w:val="16"/>
                <w:szCs w:val="16"/>
              </w:rPr>
              <w:t xml:space="preserve">Sozialform</w:t>
            </w:r>
          </w:p>
          <w:p>
            <w:pPr>
              <w:spacing w:after="70" w:before="0"/>
            </w:pPr>
            <w:r>
              <w:rPr>
                <w:rFonts w:ascii="Arial" w:cs="Arial" w:eastAsia="Arial" w:hAnsi="Arial"/>
                <w:color w:val="2B2B2B"/>
                <w:sz w:val="18"/>
                <w:szCs w:val="18"/>
              </w:rPr>
              <w:t xml:space="preserve">Plenum und Soziogramm</w:t>
            </w:r>
          </w:p>
        </w:tc>
      </w:tr>
    </w:tbl>
    <w:p>
      <w:pPr>
        <w:spacing w:after="60" w:before="0"/>
      </w:pPr>
      <w:r>
        <w:rPr>
          <w:rFonts w:ascii="Arial" w:cs="Arial" w:eastAsia="Arial" w:hAnsi="Arial"/>
          <w:color w:val="2B2B2B"/>
          <w:sz w:val="21"/>
          <w:szCs w:val="21"/>
        </w:rPr>
        <w:t xml:space="preserve"/>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300"/>
        <w:gridCol w:w="7906"/>
      </w:tblGrid>
      <w:tr>
        <w:trPr>
          <w:cantSplit/>
        </w:trPr>
        <w:tc>
          <w:tcPr>
            <w:tcW w:type="dxa" w:w="2300"/>
            <w:tcBorders>
              <w:top w:val="single" w:color="B9C7CF" w:sz="4"/>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Dauer</w:t>
            </w:r>
          </w:p>
        </w:tc>
        <w:tc>
          <w:tcPr>
            <w:tcW w:type="dxa" w:w="7906"/>
            <w:tcBorders>
              <w:top w:val="single" w:color="B9C7CF" w:sz="4"/>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2B2B2B"/>
                <w:sz w:val="19"/>
                <w:szCs w:val="19"/>
              </w:rPr>
              <w:t xml:space="preserve">30' in zwei Teilen: A Einführung 15' · B Soziogramm 15'</w:t>
            </w:r>
          </w:p>
        </w:tc>
      </w:tr>
      <w:tr>
        <w:trPr>
          <w:cantSplit/>
        </w:trPr>
        <w:tc>
          <w:tcPr>
            <w:tcW w:type="dxa" w:w="2300"/>
            <w:tcBorders>
              <w:top w:val="single" w:color="B9C7CF" w:sz="4"/>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Sozialform</w:t>
            </w:r>
          </w:p>
        </w:tc>
        <w:tc>
          <w:tcPr>
            <w:tcW w:type="dxa" w:w="7906"/>
            <w:tcBorders>
              <w:top w:val="single" w:color="B9C7CF" w:sz="4"/>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2B2B2B"/>
                <w:sz w:val="19"/>
                <w:szCs w:val="19"/>
              </w:rPr>
              <w:t xml:space="preserve">A Plenum · B Einzelarbeit, danach Soziogramm im Plenum</w:t>
            </w:r>
          </w:p>
        </w:tc>
      </w:tr>
      <w:tr>
        <w:trPr>
          <w:cantSplit/>
        </w:trPr>
        <w:tc>
          <w:tcPr>
            <w:tcW w:type="dxa" w:w="2300"/>
            <w:tcBorders>
              <w:top w:val="single" w:color="B9C7CF" w:sz="4"/>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Ziel in einem Satz</w:t>
            </w:r>
          </w:p>
        </w:tc>
        <w:tc>
          <w:tcPr>
            <w:tcW w:type="dxa" w:w="7906"/>
            <w:tcBorders>
              <w:top w:val="single" w:color="B9C7CF" w:sz="4"/>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2B2B2B"/>
                <w:sz w:val="19"/>
                <w:szCs w:val="19"/>
              </w:rPr>
              <w:t xml:space="preserve">Die Kinder unterscheiden Produktions-, Handels- und Dienstleistungsbetriebe und ordnen ihren eigenen Betrieb ein.</w:t>
            </w:r>
          </w:p>
        </w:tc>
      </w:tr>
      <w:tr>
        <w:trPr>
          <w:cantSplit/>
        </w:trPr>
        <w:tc>
          <w:tcPr>
            <w:tcW w:type="dxa" w:w="2300"/>
            <w:tcBorders>
              <w:top w:val="single" w:color="B9C7CF" w:sz="4"/>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Lernziele</w:t>
            </w:r>
          </w:p>
        </w:tc>
        <w:tc>
          <w:tcPr>
            <w:tcW w:type="dxa" w:w="7906"/>
            <w:tcBorders>
              <w:top w:val="single" w:color="B9C7CF" w:sz="4"/>
              <w:left w:val="none" w:color="FFFFFF" w:sz="0"/>
              <w:bottom w:val="single" w:color="B9C7CF" w:sz="4"/>
              <w:right w:val="none" w:color="FFFFFF" w:sz="0"/>
            </w:tcBorders>
            <w:tcMar>
              <w:top w:type="dxa" w:w="80"/>
              <w:left w:type="dxa" w:w="120"/>
              <w:bottom w:type="dxa" w:w="80"/>
              <w:right w:type="dxa" w:w="120"/>
            </w:tcMar>
            <w:vAlign w:val="top"/>
          </w:tcPr>
          <w:p>
            <w:pPr>
              <w:spacing w:after="20" w:before="0"/>
            </w:pPr>
            <w:r>
              <w:rPr>
                <w:rFonts w:ascii="Arial" w:cs="Arial" w:eastAsia="Arial" w:hAnsi="Arial"/>
                <w:color w:val="2B2B2B"/>
                <w:sz w:val="19"/>
                <w:szCs w:val="19"/>
              </w:rPr>
              <w:t xml:space="preserve">• SuS können Produktions-, Handels- und Dienstleistungsbetriebe unterscheiden und an Beispielen erklären.</w:t>
            </w:r>
          </w:p>
          <w:p>
            <w:pPr>
              <w:spacing w:after="20" w:before="0"/>
            </w:pPr>
            <w:r>
              <w:rPr>
                <w:rFonts w:ascii="Arial" w:cs="Arial" w:eastAsia="Arial" w:hAnsi="Arial"/>
                <w:color w:val="2B2B2B"/>
                <w:sz w:val="19"/>
                <w:szCs w:val="19"/>
              </w:rPr>
              <w:t xml:space="preserve">• SuS können ihren eigenen Betrieb einem Betriebstyp zuordnen und die Wahl begründen.</w:t>
            </w:r>
          </w:p>
          <w:p>
            <w:pPr>
              <w:spacing w:after="0" w:before="0"/>
            </w:pPr>
            <w:r>
              <w:rPr>
                <w:rFonts w:ascii="Arial" w:cs="Arial" w:eastAsia="Arial" w:hAnsi="Arial"/>
                <w:color w:val="2B2B2B"/>
                <w:sz w:val="19"/>
                <w:szCs w:val="19"/>
              </w:rPr>
              <w:t xml:space="preserve">• SuS können anderen mitteilen, in welchem Betrieb sie unterwegs sind.</w:t>
            </w:r>
          </w:p>
        </w:tc>
      </w:tr>
      <w:tr>
        <w:trPr>
          <w:cantSplit/>
        </w:trPr>
        <w:tc>
          <w:tcPr>
            <w:tcW w:type="dxa" w:w="2300"/>
            <w:tcBorders>
              <w:top w:val="single" w:color="B9C7CF" w:sz="4"/>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Lehrplan 21</w:t>
            </w:r>
          </w:p>
        </w:tc>
        <w:tc>
          <w:tcPr>
            <w:tcW w:type="dxa" w:w="7906"/>
            <w:tcBorders>
              <w:top w:val="single" w:color="B9C7CF" w:sz="4"/>
              <w:left w:val="none" w:color="FFFFFF" w:sz="0"/>
              <w:bottom w:val="single" w:color="B9C7CF" w:sz="4"/>
              <w:right w:val="none" w:color="FFFFFF" w:sz="0"/>
            </w:tcBorders>
            <w:tcMar>
              <w:top w:type="dxa" w:w="80"/>
              <w:left w:type="dxa" w:w="120"/>
              <w:bottom w:type="dxa" w:w="80"/>
              <w:right w:type="dxa" w:w="120"/>
            </w:tcMar>
            <w:vAlign w:val="top"/>
          </w:tcPr>
          <w:p>
            <w:pPr>
              <w:spacing w:after="20" w:before="0"/>
            </w:pPr>
            <w:r>
              <w:rPr>
                <w:rFonts w:ascii="Arial" w:cs="Arial" w:eastAsia="Arial" w:hAnsi="Arial"/>
                <w:color w:val="2B2B2B"/>
                <w:sz w:val="19"/>
                <w:szCs w:val="19"/>
              </w:rPr>
              <w:t xml:space="preserve">NMG.6.3f – Produktions- und Dienstleistungsbetriebe der nahen Umgebung erkunden</w:t>
            </w:r>
          </w:p>
          <w:p>
            <w:pPr>
              <w:spacing w:after="20" w:before="0"/>
            </w:pPr>
            <w:r>
              <w:rPr>
                <w:rFonts w:ascii="Arial" w:cs="Arial" w:eastAsia="Arial" w:hAnsi="Arial"/>
                <w:color w:val="2B2B2B"/>
                <w:sz w:val="19"/>
                <w:szCs w:val="19"/>
              </w:rPr>
              <w:t xml:space="preserve">NMG.6.4g – den Handel als Bindeglied zwischen Produktion und Konsum erkennen</w:t>
            </w:r>
          </w:p>
          <w:p>
            <w:pPr>
              <w:spacing w:after="20" w:before="0"/>
            </w:pPr>
            <w:r>
              <w:rPr>
                <w:rFonts w:ascii="Arial" w:cs="Arial" w:eastAsia="Arial" w:hAnsi="Arial"/>
                <w:color w:val="2B2B2B"/>
                <w:sz w:val="19"/>
                <w:szCs w:val="19"/>
              </w:rPr>
              <w:t xml:space="preserve">NMG.6.2c – eigene Interessen für Berufe beschreiben</w:t>
            </w:r>
          </w:p>
          <w:p>
            <w:pPr>
              <w:spacing w:after="0" w:before="0"/>
            </w:pPr>
            <w:r>
              <w:rPr>
                <w:rFonts w:ascii="Arial" w:cs="Arial" w:eastAsia="Arial" w:hAnsi="Arial"/>
                <w:color w:val="2B2B2B"/>
                <w:sz w:val="19"/>
                <w:szCs w:val="19"/>
              </w:rPr>
              <w:t xml:space="preserve">D.3.B Monologisches Sprechen (die Kinder stellen der Klasse ihren Betrieb vor)</w:t>
            </w:r>
          </w:p>
        </w:tc>
      </w:tr>
      <w:tr>
        <w:trPr>
          <w:cantSplit/>
        </w:trPr>
        <w:tc>
          <w:tcPr>
            <w:tcW w:type="dxa" w:w="2300"/>
            <w:tcBorders>
              <w:top w:val="single" w:color="B9C7CF" w:sz="4"/>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Fähigkeitsfenster</w:t>
            </w:r>
          </w:p>
        </w:tc>
        <w:tc>
          <w:tcPr>
            <w:tcW w:type="dxa" w:w="7906"/>
            <w:tcBorders>
              <w:top w:val="single" w:color="B9C7CF" w:sz="4"/>
              <w:left w:val="none" w:color="FFFFFF" w:sz="0"/>
              <w:bottom w:val="single" w:color="B9C7CF" w:sz="4"/>
              <w:right w:val="none" w:color="FFFFFF" w:sz="0"/>
            </w:tcBorders>
            <w:tcMar>
              <w:top w:type="dxa" w:w="80"/>
              <w:left w:type="dxa" w:w="120"/>
              <w:bottom w:type="dxa" w:w="80"/>
              <w:right w:type="dxa" w:w="120"/>
            </w:tcMar>
            <w:vAlign w:val="top"/>
          </w:tcPr>
          <w:p>
            <w:pPr>
              <w:spacing w:after="0" w:before="0"/>
            </w:pPr>
            <w:r>
              <w:drawing>
                <wp:inline distT="0" distB="0" distL="0" distR="0">
                  <wp:extent cx="152400" cy="152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52400" cy="152400"/>
                          </a:xfrm>
                          <a:prstGeom prst="rect">
                            <a:avLst/>
                          </a:prstGeom>
                        </pic:spPr>
                      </pic:pic>
                    </a:graphicData>
                  </a:graphic>
                </wp:inline>
              </w:drawing>
            </w:r>
            <w:r>
              <w:rPr>
                <w:rFonts w:ascii="Arial" w:cs="Arial" w:eastAsia="Arial" w:hAnsi="Arial"/>
                <w:b/>
                <w:bCs/>
                <w:color w:val="3E7186"/>
                <w:sz w:val="18"/>
                <w:szCs w:val="18"/>
              </w:rPr>
              <w:t xml:space="preserve"> Knobeln    </w:t>
            </w:r>
            <w:r>
              <w:drawing>
                <wp:inline distT="0" distB="0" distL="0" distR="0">
                  <wp:extent cx="152400" cy="152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52400" cy="152400"/>
                          </a:xfrm>
                          <a:prstGeom prst="rect">
                            <a:avLst/>
                          </a:prstGeom>
                        </pic:spPr>
                      </pic:pic>
                    </a:graphicData>
                  </a:graphic>
                </wp:inline>
              </w:drawing>
            </w:r>
            <w:r>
              <w:rPr>
                <w:rFonts w:ascii="Arial" w:cs="Arial" w:eastAsia="Arial" w:hAnsi="Arial"/>
                <w:b/>
                <w:bCs/>
                <w:color w:val="C86A2E"/>
                <w:sz w:val="18"/>
                <w:szCs w:val="18"/>
              </w:rPr>
              <w:t xml:space="preserve"> Sprache    </w:t>
            </w:r>
          </w:p>
        </w:tc>
      </w:tr>
      <w:tr>
        <w:trPr>
          <w:cantSplit/>
        </w:trPr>
        <w:tc>
          <w:tcPr>
            <w:tcW w:type="dxa" w:w="2300"/>
            <w:tcBorders>
              <w:top w:val="single" w:color="B9C7CF" w:sz="4"/>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Material &amp; Vorbereitung</w:t>
            </w:r>
          </w:p>
        </w:tc>
        <w:tc>
          <w:tcPr>
            <w:tcW w:type="dxa" w:w="7906"/>
            <w:tcBorders>
              <w:top w:val="single" w:color="B9C7CF" w:sz="4"/>
              <w:left w:val="none" w:color="FFFFFF" w:sz="0"/>
              <w:bottom w:val="single" w:color="B9C7CF" w:sz="4"/>
              <w:right w:val="none" w:color="FFFFFF" w:sz="0"/>
            </w:tcBorders>
            <w:tcMar>
              <w:top w:type="dxa" w:w="80"/>
              <w:left w:type="dxa" w:w="120"/>
              <w:bottom w:type="dxa" w:w="80"/>
              <w:right w:type="dxa" w:w="120"/>
            </w:tcMar>
            <w:vAlign w:val="top"/>
          </w:tcPr>
          <w:p>
            <w:pPr>
              <w:spacing w:after="20" w:before="0"/>
            </w:pPr>
            <w:r>
              <w:rPr>
                <w:rFonts w:ascii="Arial" w:cs="Arial" w:eastAsia="Arial" w:hAnsi="Arial"/>
                <w:color w:val="2F6F73"/>
                <w:sz w:val="20"/>
                <w:szCs w:val="20"/>
              </w:rPr>
              <w:t xml:space="preserve">□ </w:t>
            </w:r>
            <w:r>
              <w:rPr>
                <w:rFonts w:ascii="Arial" w:cs="Arial" w:eastAsia="Arial" w:hAnsi="Arial"/>
                <w:color w:val="2B2B2B"/>
                <w:sz w:val="19"/>
                <w:szCs w:val="19"/>
              </w:rPr>
              <w:t xml:space="preserve">Folien 2.2 mit Beispielbetrieben aus der Region (gern durch Betriebe aus der eigenen Gemeinde ersetzen)</w:t>
            </w:r>
          </w:p>
          <w:p>
            <w:pPr>
              <w:spacing w:after="20" w:before="0"/>
            </w:pPr>
            <w:r>
              <w:rPr>
                <w:rFonts w:ascii="Arial" w:cs="Arial" w:eastAsia="Arial" w:hAnsi="Arial"/>
                <w:color w:val="2F6F73"/>
                <w:sz w:val="20"/>
                <w:szCs w:val="20"/>
              </w:rPr>
              <w:t xml:space="preserve">□ </w:t>
            </w:r>
            <w:r>
              <w:rPr>
                <w:rFonts w:ascii="Arial" w:cs="Arial" w:eastAsia="Arial" w:hAnsi="Arial"/>
                <w:color w:val="2B2B2B"/>
                <w:sz w:val="19"/>
                <w:szCs w:val="19"/>
              </w:rPr>
              <w:t xml:space="preserve">Vier A4-Blätter (PF_2.2_Eckenschilder): Produktion, Handel und Dienstleistung für die Ecken, «Noch unsicher?» für die Mitte</w:t>
            </w:r>
          </w:p>
          <w:p>
            <w:pPr>
              <w:spacing w:after="20" w:before="0"/>
            </w:pPr>
            <w:r>
              <w:rPr>
                <w:rFonts w:ascii="Arial" w:cs="Arial" w:eastAsia="Arial" w:hAnsi="Arial"/>
                <w:color w:val="2F6F73"/>
                <w:sz w:val="20"/>
                <w:szCs w:val="20"/>
              </w:rPr>
              <w:t xml:space="preserve">□ </w:t>
            </w:r>
            <w:r>
              <w:rPr>
                <w:rFonts w:ascii="Arial" w:cs="Arial" w:eastAsia="Arial" w:hAnsi="Arial"/>
                <w:color w:val="2B2B2B"/>
                <w:sz w:val="19"/>
                <w:szCs w:val="19"/>
              </w:rPr>
              <w:t xml:space="preserve">Karte «Mein Betrieb» (PF_2.2_Karte-Mein-Betrieb), 1 pro SuS</w:t>
            </w:r>
          </w:p>
          <w:p>
            <w:pPr>
              <w:spacing w:after="0" w:before="0"/>
            </w:pPr>
            <w:r>
              <w:rPr>
                <w:rFonts w:ascii="Arial" w:cs="Arial" w:eastAsia="Arial" w:hAnsi="Arial"/>
                <w:color w:val="2F6F73"/>
                <w:sz w:val="20"/>
                <w:szCs w:val="20"/>
              </w:rPr>
              <w:t xml:space="preserve">□ </w:t>
            </w:r>
            <w:r>
              <w:rPr>
                <w:rFonts w:ascii="Arial" w:cs="Arial" w:eastAsia="Arial" w:hAnsi="Arial"/>
                <w:color w:val="2B2B2B"/>
                <w:sz w:val="19"/>
                <w:szCs w:val="19"/>
              </w:rPr>
              <w:t xml:space="preserve">Platz für das Soziogramm, Tische zur Seite</w:t>
            </w:r>
          </w:p>
        </w:tc>
      </w:tr>
      <w:tr>
        <w:trPr>
          <w:cantSplit/>
        </w:trPr>
        <w:tc>
          <w:tcPr>
            <w:tcW w:type="dxa" w:w="2300"/>
            <w:tcBorders>
              <w:top w:val="single" w:color="B9C7CF" w:sz="4"/>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Output</w:t>
            </w:r>
          </w:p>
        </w:tc>
        <w:tc>
          <w:tcPr>
            <w:tcW w:type="dxa" w:w="7906"/>
            <w:tcBorders>
              <w:top w:val="single" w:color="B9C7CF" w:sz="4"/>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2B2B2B"/>
                <w:sz w:val="19"/>
                <w:szCs w:val="19"/>
              </w:rPr>
              <w:t xml:space="preserve">Alle SuS kennen die drei Betriebstypen und haben eine Betriebskarte. Die Klasse weiss, wer wohin geht, und erste Gruppen für 2.4 sind sichtbar.</w:t>
            </w:r>
          </w:p>
        </w:tc>
      </w:tr>
    </w:tbl>
    <w:p>
      <w:pPr>
        <w:keepNext/>
        <w:spacing w:after="80" w:before="220"/>
      </w:pPr>
      <w:r>
        <w:rPr>
          <w:rFonts w:ascii="Arial" w:cs="Arial" w:eastAsia="Arial" w:hAnsi="Arial"/>
          <w:b/>
          <w:bCs/>
          <w:color w:val="2F6F73"/>
          <w:sz w:val="24"/>
          <w:szCs w:val="24"/>
        </w:rPr>
        <w:t xml:space="preserve">Ablauf</w:t>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0"/>
        <w:gridCol w:w="1450"/>
        <w:gridCol w:w="5306"/>
        <w:gridCol w:w="1250"/>
        <w:gridCol w:w="1400"/>
      </w:tblGrid>
      <w:tr>
        <w:trPr>
          <w:cantSplit/>
          <w:tblHeader/>
        </w:trPr>
        <w:tc>
          <w:tcPr>
            <w:tcW w:type="dxa" w:w="800"/>
            <w:tcBorders>
              <w:top w:val="none" w:color="FFFFFF" w:sz="0"/>
              <w:left w:val="none" w:color="FFFFFF" w:sz="0"/>
              <w:bottom w:val="none" w:color="FFFFFF" w:sz="0"/>
              <w:right w:val="none" w:color="FFFFFF" w:sz="0"/>
            </w:tcBorders>
            <w:shd w:fill="2F6F73" w:color="auto" w:val="clear"/>
            <w:tcMar>
              <w:top w:type="dxa" w:w="80"/>
              <w:left w:type="dxa" w:w="120"/>
              <w:bottom w:type="dxa" w:w="80"/>
              <w:right w:type="dxa" w:w="120"/>
            </w:tcMar>
            <w:vAlign w:val="top"/>
          </w:tcPr>
          <w:p>
            <w:pPr>
              <w:spacing w:after="0" w:before="0"/>
            </w:pPr>
            <w:r>
              <w:rPr>
                <w:rFonts w:ascii="Arial" w:cs="Arial" w:eastAsia="Arial" w:hAnsi="Arial"/>
                <w:b/>
                <w:bCs/>
                <w:color w:val="FFFFFF"/>
                <w:sz w:val="18"/>
                <w:szCs w:val="18"/>
              </w:rPr>
              <w:t xml:space="preserve">Zeit</w:t>
            </w:r>
          </w:p>
        </w:tc>
        <w:tc>
          <w:tcPr>
            <w:tcW w:type="dxa" w:w="1450"/>
            <w:tcBorders>
              <w:top w:val="none" w:color="FFFFFF" w:sz="0"/>
              <w:left w:val="none" w:color="FFFFFF" w:sz="0"/>
              <w:bottom w:val="none" w:color="FFFFFF" w:sz="0"/>
              <w:right w:val="none" w:color="FFFFFF" w:sz="0"/>
            </w:tcBorders>
            <w:shd w:fill="2F6F73" w:color="auto" w:val="clear"/>
            <w:tcMar>
              <w:top w:type="dxa" w:w="80"/>
              <w:left w:type="dxa" w:w="120"/>
              <w:bottom w:type="dxa" w:w="80"/>
              <w:right w:type="dxa" w:w="120"/>
            </w:tcMar>
            <w:vAlign w:val="top"/>
          </w:tcPr>
          <w:p>
            <w:pPr>
              <w:spacing w:after="0" w:before="0"/>
            </w:pPr>
            <w:r>
              <w:rPr>
                <w:rFonts w:ascii="Arial" w:cs="Arial" w:eastAsia="Arial" w:hAnsi="Arial"/>
                <w:b/>
                <w:bCs/>
                <w:color w:val="FFFFFF"/>
                <w:sz w:val="18"/>
                <w:szCs w:val="18"/>
              </w:rPr>
              <w:t xml:space="preserve">Phase</w:t>
            </w:r>
          </w:p>
        </w:tc>
        <w:tc>
          <w:tcPr>
            <w:tcW w:type="dxa" w:w="5306"/>
            <w:tcBorders>
              <w:top w:val="none" w:color="FFFFFF" w:sz="0"/>
              <w:left w:val="none" w:color="FFFFFF" w:sz="0"/>
              <w:bottom w:val="none" w:color="FFFFFF" w:sz="0"/>
              <w:right w:val="none" w:color="FFFFFF" w:sz="0"/>
            </w:tcBorders>
            <w:shd w:fill="2F6F73" w:color="auto" w:val="clear"/>
            <w:tcMar>
              <w:top w:type="dxa" w:w="80"/>
              <w:left w:type="dxa" w:w="120"/>
              <w:bottom w:type="dxa" w:w="80"/>
              <w:right w:type="dxa" w:w="120"/>
            </w:tcMar>
            <w:vAlign w:val="top"/>
          </w:tcPr>
          <w:p>
            <w:pPr>
              <w:spacing w:after="0" w:before="0"/>
            </w:pPr>
            <w:r>
              <w:rPr>
                <w:rFonts w:ascii="Arial" w:cs="Arial" w:eastAsia="Arial" w:hAnsi="Arial"/>
                <w:b/>
                <w:bCs/>
                <w:color w:val="FFFFFF"/>
                <w:sz w:val="18"/>
                <w:szCs w:val="18"/>
              </w:rPr>
              <w:t xml:space="preserve">Was passiert?</w:t>
            </w:r>
          </w:p>
        </w:tc>
        <w:tc>
          <w:tcPr>
            <w:tcW w:type="dxa" w:w="1250"/>
            <w:tcBorders>
              <w:top w:val="none" w:color="FFFFFF" w:sz="0"/>
              <w:left w:val="none" w:color="FFFFFF" w:sz="0"/>
              <w:bottom w:val="none" w:color="FFFFFF" w:sz="0"/>
              <w:right w:val="none" w:color="FFFFFF" w:sz="0"/>
            </w:tcBorders>
            <w:shd w:fill="2F6F73" w:color="auto" w:val="clear"/>
            <w:tcMar>
              <w:top w:type="dxa" w:w="80"/>
              <w:left w:type="dxa" w:w="120"/>
              <w:bottom w:type="dxa" w:w="80"/>
              <w:right w:type="dxa" w:w="120"/>
            </w:tcMar>
            <w:vAlign w:val="top"/>
          </w:tcPr>
          <w:p>
            <w:pPr>
              <w:spacing w:after="0" w:before="0"/>
            </w:pPr>
            <w:r>
              <w:rPr>
                <w:rFonts w:ascii="Arial" w:cs="Arial" w:eastAsia="Arial" w:hAnsi="Arial"/>
                <w:b/>
                <w:bCs/>
                <w:color w:val="FFFFFF"/>
                <w:sz w:val="18"/>
                <w:szCs w:val="18"/>
              </w:rPr>
              <w:t xml:space="preserve">Sozialform</w:t>
            </w:r>
          </w:p>
        </w:tc>
        <w:tc>
          <w:tcPr>
            <w:tcW w:type="dxa" w:w="1400"/>
            <w:tcBorders>
              <w:top w:val="none" w:color="FFFFFF" w:sz="0"/>
              <w:left w:val="none" w:color="FFFFFF" w:sz="0"/>
              <w:bottom w:val="none" w:color="FFFFFF" w:sz="0"/>
              <w:right w:val="none" w:color="FFFFFF" w:sz="0"/>
            </w:tcBorders>
            <w:shd w:fill="2F6F73" w:color="auto" w:val="clear"/>
            <w:tcMar>
              <w:top w:type="dxa" w:w="80"/>
              <w:left w:type="dxa" w:w="120"/>
              <w:bottom w:type="dxa" w:w="80"/>
              <w:right w:type="dxa" w:w="120"/>
            </w:tcMar>
            <w:vAlign w:val="top"/>
          </w:tcPr>
          <w:p>
            <w:pPr>
              <w:spacing w:after="0" w:before="0"/>
            </w:pPr>
            <w:r>
              <w:rPr>
                <w:rFonts w:ascii="Arial" w:cs="Arial" w:eastAsia="Arial" w:hAnsi="Arial"/>
                <w:b/>
                <w:bCs/>
                <w:color w:val="FFFFFF"/>
                <w:sz w:val="18"/>
                <w:szCs w:val="18"/>
              </w:rPr>
              <w:t xml:space="preserve">Material</w:t>
            </w:r>
          </w:p>
        </w:tc>
      </w:tr>
      <w:tr>
        <w:trPr>
          <w:cantSplit/>
        </w:trPr>
        <w:tc>
          <w:tcPr>
            <w:tcW w:type="dxa" w:w="80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b/>
                <w:bCs/>
                <w:color w:val="C86A2E"/>
                <w:sz w:val="19"/>
                <w:szCs w:val="19"/>
              </w:rPr>
              <w:t xml:space="preserve">5'</w:t>
            </w:r>
          </w:p>
        </w:tc>
        <w:tc>
          <w:tcPr>
            <w:tcW w:type="dxa" w:w="145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A · Drei Typen</w:t>
            </w:r>
          </w:p>
        </w:tc>
        <w:tc>
          <w:tcPr>
            <w:tcW w:type="dxa" w:w="5306"/>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30" w:before="0"/>
            </w:pPr>
            <w:r>
              <w:rPr>
                <w:rFonts w:ascii="Arial" w:cs="Arial" w:eastAsia="Arial" w:hAnsi="Arial"/>
                <w:b/>
                <w:bCs/>
                <w:color w:val="2F6F73"/>
                <w:sz w:val="18"/>
                <w:szCs w:val="18"/>
              </w:rPr>
              <w:t xml:space="preserve">LP: </w:t>
            </w:r>
            <w:r>
              <w:rPr>
                <w:rFonts w:ascii="Arial" w:cs="Arial" w:eastAsia="Arial" w:hAnsi="Arial"/>
                <w:color w:val="2B2B2B"/>
                <w:sz w:val="18"/>
                <w:szCs w:val="18"/>
              </w:rPr>
              <w:t xml:space="preserve">Die drei Betriebstypen vorstellen: herstellen, handeln, helfen.</w:t>
            </w:r>
          </w:p>
          <w:p>
            <w:pPr>
              <w:spacing w:after="30" w:before="0"/>
            </w:pPr>
            <w:r>
              <w:rPr>
                <w:rFonts w:ascii="Arial" w:cs="Arial" w:eastAsia="Arial" w:hAnsi="Arial"/>
                <w:color w:val="2B2B2B"/>
                <w:sz w:val="18"/>
                <w:szCs w:val="18"/>
              </w:rPr>
              <w:t xml:space="preserve">Zusatzfrage einführen: privat oder öffentlich?</w:t>
            </w:r>
          </w:p>
          <w:p>
            <w:pPr>
              <w:spacing w:after="30" w:before="0"/>
            </w:pPr>
            <w:r>
              <w:rPr>
                <w:rFonts w:ascii="Arial" w:cs="Arial" w:eastAsia="Arial" w:hAnsi="Arial"/>
                <w:b/>
                <w:bCs/>
                <w:color w:val="C86A2E"/>
                <w:sz w:val="18"/>
                <w:szCs w:val="18"/>
              </w:rPr>
              <w:t xml:space="preserve">SuS: </w:t>
            </w:r>
            <w:r>
              <w:rPr>
                <w:rFonts w:ascii="Arial" w:cs="Arial" w:eastAsia="Arial" w:hAnsi="Arial"/>
                <w:color w:val="2B2B2B"/>
                <w:sz w:val="18"/>
                <w:szCs w:val="18"/>
              </w:rPr>
              <w:t xml:space="preserve">Nennen eigene Beispiele zu jedem Typ.</w:t>
            </w:r>
          </w:p>
        </w:tc>
        <w:tc>
          <w:tcPr>
            <w:tcW w:type="dxa" w:w="125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6B6B6B"/>
                <w:sz w:val="17"/>
                <w:szCs w:val="17"/>
              </w:rPr>
              <w:t xml:space="preserve">Plenum</w:t>
            </w:r>
          </w:p>
        </w:tc>
        <w:tc>
          <w:tcPr>
            <w:tcW w:type="dxa" w:w="140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6B6B6B"/>
                <w:sz w:val="17"/>
                <w:szCs w:val="17"/>
              </w:rPr>
              <w:t xml:space="preserve">Folien 1–2</w:t>
            </w:r>
          </w:p>
        </w:tc>
      </w:tr>
      <w:tr>
        <w:trPr>
          <w:cantSplit/>
        </w:trPr>
        <w:tc>
          <w:tcPr>
            <w:tcW w:type="dxa" w:w="800"/>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C86A2E"/>
                <w:sz w:val="19"/>
                <w:szCs w:val="19"/>
              </w:rPr>
              <w:t xml:space="preserve">7'</w:t>
            </w:r>
          </w:p>
        </w:tc>
        <w:tc>
          <w:tcPr>
            <w:tcW w:type="dxa" w:w="1450"/>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A · Ordnet zu!</w:t>
            </w:r>
          </w:p>
        </w:tc>
        <w:tc>
          <w:tcPr>
            <w:tcW w:type="dxa" w:w="5306"/>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30" w:before="0"/>
            </w:pPr>
            <w:r>
              <w:rPr>
                <w:rFonts w:ascii="Arial" w:cs="Arial" w:eastAsia="Arial" w:hAnsi="Arial"/>
                <w:b/>
                <w:bCs/>
                <w:color w:val="2F6F73"/>
                <w:sz w:val="18"/>
                <w:szCs w:val="18"/>
              </w:rPr>
              <w:t xml:space="preserve">LP: </w:t>
            </w:r>
            <w:r>
              <w:rPr>
                <w:rFonts w:ascii="Arial" w:cs="Arial" w:eastAsia="Arial" w:hAnsi="Arial"/>
                <w:color w:val="2B2B2B"/>
                <w:sz w:val="18"/>
                <w:szCs w:val="18"/>
              </w:rPr>
              <w:t xml:space="preserve">Die neun Beispielbetriebe zeigen. Zu jedem fragen: Wo ist der Betrieb? Was macht er? Was bekommt man dort? Welcher Typ?</w:t>
            </w:r>
          </w:p>
          <w:p>
            <w:pPr>
              <w:spacing w:after="30" w:before="0"/>
            </w:pPr>
            <w:r>
              <w:rPr>
                <w:rFonts w:ascii="Arial" w:cs="Arial" w:eastAsia="Arial" w:hAnsi="Arial"/>
                <w:b/>
                <w:bCs/>
                <w:color w:val="C86A2E"/>
                <w:sz w:val="18"/>
                <w:szCs w:val="18"/>
              </w:rPr>
              <w:t xml:space="preserve">SuS: </w:t>
            </w:r>
            <w:r>
              <w:rPr>
                <w:rFonts w:ascii="Arial" w:cs="Arial" w:eastAsia="Arial" w:hAnsi="Arial"/>
                <w:color w:val="2B2B2B"/>
                <w:sz w:val="18"/>
                <w:szCs w:val="18"/>
              </w:rPr>
              <w:t xml:space="preserve">Ordnen zu und begründen.</w:t>
            </w:r>
          </w:p>
        </w:tc>
        <w:tc>
          <w:tcPr>
            <w:tcW w:type="dxa" w:w="1250"/>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color w:val="6B6B6B"/>
                <w:sz w:val="17"/>
                <w:szCs w:val="17"/>
              </w:rPr>
              <w:t xml:space="preserve">Plenum</w:t>
            </w:r>
          </w:p>
        </w:tc>
        <w:tc>
          <w:tcPr>
            <w:tcW w:type="dxa" w:w="1400"/>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color w:val="6B6B6B"/>
                <w:sz w:val="17"/>
                <w:szCs w:val="17"/>
              </w:rPr>
              <w:t xml:space="preserve">Folie 3, Lösung unten</w:t>
            </w:r>
          </w:p>
        </w:tc>
      </w:tr>
      <w:tr>
        <w:trPr>
          <w:cantSplit/>
        </w:trPr>
        <w:tc>
          <w:tcPr>
            <w:tcW w:type="dxa" w:w="80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b/>
                <w:bCs/>
                <w:color w:val="C86A2E"/>
                <w:sz w:val="19"/>
                <w:szCs w:val="19"/>
              </w:rPr>
              <w:t xml:space="preserve">3'</w:t>
            </w:r>
          </w:p>
        </w:tc>
        <w:tc>
          <w:tcPr>
            <w:tcW w:type="dxa" w:w="145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A · Knifflige Fälle</w:t>
            </w:r>
          </w:p>
        </w:tc>
        <w:tc>
          <w:tcPr>
            <w:tcW w:type="dxa" w:w="5306"/>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30" w:before="0"/>
            </w:pPr>
            <w:r>
              <w:rPr>
                <w:rFonts w:ascii="Arial" w:cs="Arial" w:eastAsia="Arial" w:hAnsi="Arial"/>
                <w:b/>
                <w:bCs/>
                <w:color w:val="2F6F73"/>
                <w:sz w:val="18"/>
                <w:szCs w:val="18"/>
              </w:rPr>
              <w:t xml:space="preserve">LP: </w:t>
            </w:r>
            <w:r>
              <w:rPr>
                <w:rFonts w:ascii="Arial" w:cs="Arial" w:eastAsia="Arial" w:hAnsi="Arial"/>
                <w:color w:val="2B2B2B"/>
                <w:sz w:val="18"/>
                <w:szCs w:val="18"/>
              </w:rPr>
              <w:t xml:space="preserve">Bäckerei und Velowerkstatt besprechen. Viele Betriebe machen mehreres. Entscheidend ist die Haupttätigkeit.</w:t>
            </w:r>
          </w:p>
          <w:p>
            <w:pPr>
              <w:spacing w:after="30" w:before="0"/>
            </w:pPr>
            <w:r>
              <w:rPr>
                <w:rFonts w:ascii="Arial" w:cs="Arial" w:eastAsia="Arial" w:hAnsi="Arial"/>
                <w:b/>
                <w:bCs/>
                <w:color w:val="C86A2E"/>
                <w:sz w:val="18"/>
                <w:szCs w:val="18"/>
              </w:rPr>
              <w:t xml:space="preserve">SuS: </w:t>
            </w:r>
            <w:r>
              <w:rPr>
                <w:rFonts w:ascii="Arial" w:cs="Arial" w:eastAsia="Arial" w:hAnsi="Arial"/>
                <w:color w:val="2B2B2B"/>
                <w:sz w:val="18"/>
                <w:szCs w:val="18"/>
              </w:rPr>
              <w:t xml:space="preserve">Diskutieren.</w:t>
            </w:r>
          </w:p>
        </w:tc>
        <w:tc>
          <w:tcPr>
            <w:tcW w:type="dxa" w:w="125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6B6B6B"/>
                <w:sz w:val="17"/>
                <w:szCs w:val="17"/>
              </w:rPr>
              <w:t xml:space="preserve">Plenum</w:t>
            </w:r>
          </w:p>
        </w:tc>
        <w:tc>
          <w:tcPr>
            <w:tcW w:type="dxa" w:w="140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6B6B6B"/>
                <w:sz w:val="17"/>
                <w:szCs w:val="17"/>
              </w:rPr>
              <w:t xml:space="preserve">Folie 4</w:t>
            </w:r>
          </w:p>
        </w:tc>
      </w:tr>
      <w:tr>
        <w:trPr>
          <w:cantSplit/>
        </w:trPr>
        <w:tc>
          <w:tcPr>
            <w:tcW w:type="dxa" w:w="800"/>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C86A2E"/>
                <w:sz w:val="19"/>
                <w:szCs w:val="19"/>
              </w:rPr>
              <w:t xml:space="preserve">4'</w:t>
            </w:r>
          </w:p>
        </w:tc>
        <w:tc>
          <w:tcPr>
            <w:tcW w:type="dxa" w:w="1450"/>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B · Betriebskarte</w:t>
            </w:r>
          </w:p>
        </w:tc>
        <w:tc>
          <w:tcPr>
            <w:tcW w:type="dxa" w:w="5306"/>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30" w:before="0"/>
            </w:pPr>
            <w:r>
              <w:rPr>
                <w:rFonts w:ascii="Arial" w:cs="Arial" w:eastAsia="Arial" w:hAnsi="Arial"/>
                <w:b/>
                <w:bCs/>
                <w:color w:val="2F6F73"/>
                <w:sz w:val="18"/>
                <w:szCs w:val="18"/>
              </w:rPr>
              <w:t xml:space="preserve">LP: </w:t>
            </w:r>
            <w:r>
              <w:rPr>
                <w:rFonts w:ascii="Arial" w:cs="Arial" w:eastAsia="Arial" w:hAnsi="Arial"/>
                <w:color w:val="2B2B2B"/>
                <w:sz w:val="18"/>
                <w:szCs w:val="18"/>
              </w:rPr>
              <w:t xml:space="preserve">Karte «Mein Betrieb» austeilen. Wer noch sucht, notiert einen Wunschbetrieb.</w:t>
            </w:r>
          </w:p>
          <w:p>
            <w:pPr>
              <w:spacing w:after="30" w:before="0"/>
            </w:pPr>
            <w:r>
              <w:rPr>
                <w:rFonts w:ascii="Arial" w:cs="Arial" w:eastAsia="Arial" w:hAnsi="Arial"/>
                <w:b/>
                <w:bCs/>
                <w:color w:val="C86A2E"/>
                <w:sz w:val="18"/>
                <w:szCs w:val="18"/>
              </w:rPr>
              <w:t xml:space="preserve">SuS: </w:t>
            </w:r>
            <w:r>
              <w:rPr>
                <w:rFonts w:ascii="Arial" w:cs="Arial" w:eastAsia="Arial" w:hAnsi="Arial"/>
                <w:color w:val="2B2B2B"/>
                <w:sz w:val="18"/>
                <w:szCs w:val="18"/>
              </w:rPr>
              <w:t xml:space="preserve">Füllen die Karte aus.</w:t>
            </w:r>
          </w:p>
        </w:tc>
        <w:tc>
          <w:tcPr>
            <w:tcW w:type="dxa" w:w="1250"/>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color w:val="6B6B6B"/>
                <w:sz w:val="17"/>
                <w:szCs w:val="17"/>
              </w:rPr>
              <w:t xml:space="preserve">Einzelarbeit</w:t>
            </w:r>
          </w:p>
        </w:tc>
        <w:tc>
          <w:tcPr>
            <w:tcW w:type="dxa" w:w="1400"/>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color w:val="6B6B6B"/>
                <w:sz w:val="17"/>
                <w:szCs w:val="17"/>
              </w:rPr>
              <w:t xml:space="preserve">Folie 5, Karte</w:t>
            </w:r>
          </w:p>
        </w:tc>
      </w:tr>
      <w:tr>
        <w:trPr>
          <w:cantSplit/>
        </w:trPr>
        <w:tc>
          <w:tcPr>
            <w:tcW w:type="dxa" w:w="80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b/>
                <w:bCs/>
                <w:color w:val="C86A2E"/>
                <w:sz w:val="19"/>
                <w:szCs w:val="19"/>
              </w:rPr>
              <w:t xml:space="preserve">4'</w:t>
            </w:r>
          </w:p>
        </w:tc>
        <w:tc>
          <w:tcPr>
            <w:tcW w:type="dxa" w:w="145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B · Soziogramm</w:t>
            </w:r>
          </w:p>
        </w:tc>
        <w:tc>
          <w:tcPr>
            <w:tcW w:type="dxa" w:w="5306"/>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30" w:before="0"/>
            </w:pPr>
            <w:r>
              <w:rPr>
                <w:rFonts w:ascii="Arial" w:cs="Arial" w:eastAsia="Arial" w:hAnsi="Arial"/>
                <w:b/>
                <w:bCs/>
                <w:color w:val="2F6F73"/>
                <w:sz w:val="18"/>
                <w:szCs w:val="18"/>
              </w:rPr>
              <w:t xml:space="preserve">LP: </w:t>
            </w:r>
            <w:r>
              <w:rPr>
                <w:rFonts w:ascii="Arial" w:cs="Arial" w:eastAsia="Arial" w:hAnsi="Arial"/>
                <w:color w:val="2B2B2B"/>
                <w:sz w:val="18"/>
                <w:szCs w:val="18"/>
              </w:rPr>
              <w:t xml:space="preserve">A4-Blätter in drei Ecken legen, «Noch unsicher?» in die Mitte. Von 10 rückwärts zählen.</w:t>
            </w:r>
          </w:p>
          <w:p>
            <w:pPr>
              <w:spacing w:after="30" w:before="0"/>
            </w:pPr>
            <w:r>
              <w:rPr>
                <w:rFonts w:ascii="Arial" w:cs="Arial" w:eastAsia="Arial" w:hAnsi="Arial"/>
                <w:b/>
                <w:bCs/>
                <w:color w:val="C86A2E"/>
                <w:sz w:val="18"/>
                <w:szCs w:val="18"/>
              </w:rPr>
              <w:t xml:space="preserve">SuS: </w:t>
            </w:r>
            <w:r>
              <w:rPr>
                <w:rFonts w:ascii="Arial" w:cs="Arial" w:eastAsia="Arial" w:hAnsi="Arial"/>
                <w:color w:val="2B2B2B"/>
                <w:sz w:val="18"/>
                <w:szCs w:val="18"/>
              </w:rPr>
              <w:t xml:space="preserve">Stellen sich zu ihrem Betriebstyp.</w:t>
            </w:r>
          </w:p>
        </w:tc>
        <w:tc>
          <w:tcPr>
            <w:tcW w:type="dxa" w:w="125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6B6B6B"/>
                <w:sz w:val="17"/>
                <w:szCs w:val="17"/>
              </w:rPr>
              <w:t xml:space="preserve">Plenum, Bewegung</w:t>
            </w:r>
          </w:p>
        </w:tc>
        <w:tc>
          <w:tcPr>
            <w:tcW w:type="dxa" w:w="140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6B6B6B"/>
                <w:sz w:val="17"/>
                <w:szCs w:val="17"/>
              </w:rPr>
              <w:t xml:space="preserve">Folie 6, A4-Blätter</w:t>
            </w:r>
          </w:p>
        </w:tc>
      </w:tr>
      <w:tr>
        <w:trPr>
          <w:cantSplit/>
        </w:trPr>
        <w:tc>
          <w:tcPr>
            <w:tcW w:type="dxa" w:w="800"/>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C86A2E"/>
                <w:sz w:val="19"/>
                <w:szCs w:val="19"/>
              </w:rPr>
              <w:t xml:space="preserve">7'</w:t>
            </w:r>
          </w:p>
        </w:tc>
        <w:tc>
          <w:tcPr>
            <w:tcW w:type="dxa" w:w="1450"/>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B · Blitzlicht</w:t>
            </w:r>
          </w:p>
        </w:tc>
        <w:tc>
          <w:tcPr>
            <w:tcW w:type="dxa" w:w="5306"/>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30" w:before="0"/>
            </w:pPr>
            <w:r>
              <w:rPr>
                <w:rFonts w:ascii="Arial" w:cs="Arial" w:eastAsia="Arial" w:hAnsi="Arial"/>
                <w:b/>
                <w:bCs/>
                <w:color w:val="2F6F73"/>
                <w:sz w:val="18"/>
                <w:szCs w:val="18"/>
              </w:rPr>
              <w:t xml:space="preserve">LP: </w:t>
            </w:r>
            <w:r>
              <w:rPr>
                <w:rFonts w:ascii="Arial" w:cs="Arial" w:eastAsia="Arial" w:hAnsi="Arial"/>
                <w:color w:val="2B2B2B"/>
                <w:sz w:val="18"/>
                <w:szCs w:val="18"/>
              </w:rPr>
              <w:t xml:space="preserve">Reihum fragen. Bei den Unsicheren hilft die Klasse beim Einordnen. Ähnliche Betriebe als Gruppen für 2.4 notieren, direkt auf der Folie oder an der Tafel.</w:t>
            </w:r>
          </w:p>
          <w:p>
            <w:pPr>
              <w:spacing w:after="30" w:before="0"/>
            </w:pPr>
            <w:r>
              <w:rPr>
                <w:rFonts w:ascii="Arial" w:cs="Arial" w:eastAsia="Arial" w:hAnsi="Arial"/>
                <w:b/>
                <w:bCs/>
                <w:color w:val="C86A2E"/>
                <w:sz w:val="18"/>
                <w:szCs w:val="18"/>
              </w:rPr>
              <w:t xml:space="preserve">SuS: </w:t>
            </w:r>
            <w:r>
              <w:rPr>
                <w:rFonts w:ascii="Arial" w:cs="Arial" w:eastAsia="Arial" w:hAnsi="Arial"/>
                <w:color w:val="2B2B2B"/>
                <w:sz w:val="18"/>
                <w:szCs w:val="18"/>
              </w:rPr>
              <w:t xml:space="preserve">Sagen, wo sie beim Betriebsbesuch sind und warum sie hier stehen.</w:t>
            </w:r>
          </w:p>
        </w:tc>
        <w:tc>
          <w:tcPr>
            <w:tcW w:type="dxa" w:w="1250"/>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color w:val="6B6B6B"/>
                <w:sz w:val="17"/>
                <w:szCs w:val="17"/>
              </w:rPr>
              <w:t xml:space="preserve">Plenum</w:t>
            </w:r>
          </w:p>
        </w:tc>
        <w:tc>
          <w:tcPr>
            <w:tcW w:type="dxa" w:w="1400"/>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color w:val="6B6B6B"/>
                <w:sz w:val="17"/>
                <w:szCs w:val="17"/>
              </w:rPr>
              <w:t xml:space="preserve">Folie 7</w:t>
            </w:r>
          </w:p>
        </w:tc>
      </w:tr>
    </w:tbl>
    <w:p>
      <w:pPr>
        <w:spacing w:after="80" w:before="0"/>
      </w:pPr>
      <w:r>
        <w:rPr>
          <w:rFonts w:ascii="Arial" w:cs="Arial" w:eastAsia="Arial" w:hAnsi="Arial"/>
          <w:color w:val="2B2B2B"/>
          <w:sz w:val="21"/>
          <w:szCs w:val="21"/>
        </w:rPr>
        <w:t xml:space="preserve"/>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06"/>
      </w:tblGrid>
      <w:tr>
        <w:trPr>
          <w:cantSplit/>
        </w:trPr>
        <w:tc>
          <w:tcPr>
            <w:tcW w:type="dxa" w:w="10206"/>
            <w:tcBorders>
              <w:top w:val="none" w:color="FFFFFF" w:sz="0"/>
              <w:left w:val="none" w:color="FFFFFF" w:sz="0"/>
              <w:bottom w:val="none" w:color="FFFFFF" w:sz="0"/>
              <w:right w:val="none" w:color="FFFFFF" w:sz="0"/>
            </w:tcBorders>
            <w:shd w:fill="E1ECEC" w:color="auto" w:val="clear"/>
            <w:tcMar>
              <w:top w:type="dxa" w:w="140"/>
              <w:left w:type="dxa" w:w="200"/>
              <w:bottom w:type="dxa" w:w="140"/>
              <w:right w:type="dxa" w:w="200"/>
            </w:tcMar>
            <w:vAlign w:val="top"/>
          </w:tcPr>
          <w:p>
            <w:pPr>
              <w:spacing w:after="60" w:before="0"/>
            </w:pPr>
            <w:r>
              <w:rPr>
                <w:rFonts w:ascii="Arial" w:cs="Arial" w:eastAsia="Arial" w:hAnsi="Arial"/>
                <w:b/>
                <w:bCs/>
                <w:color w:val="2F6F73"/>
                <w:sz w:val="20"/>
                <w:szCs w:val="20"/>
              </w:rPr>
              <w:t xml:space="preserve">So kann die Lehrperson einsteigen</w:t>
            </w:r>
          </w:p>
          <w:p>
            <w:pPr>
              <w:spacing w:after="40" w:before="0"/>
            </w:pPr>
            <w:r>
              <w:rPr>
                <w:rFonts w:ascii="Arial" w:cs="Arial" w:eastAsia="Arial" w:hAnsi="Arial"/>
                <w:i/>
                <w:iCs/>
                <w:color w:val="2B2B2B"/>
                <w:sz w:val="19"/>
                <w:szCs w:val="19"/>
              </w:rPr>
              <w:t xml:space="preserve">«Betriebe gibt es unzählige. Aber fast alle tun eines von drei Dingen. Sie stellen etwas her, sie handeln mit Waren oder sie helfen jemandem mit einer Dienstleistung.</w:t>
            </w:r>
          </w:p>
          <w:p>
            <w:pPr>
              <w:spacing w:after="40" w:before="0"/>
            </w:pPr>
            <w:r>
              <w:rPr>
                <w:rFonts w:ascii="Arial" w:cs="Arial" w:eastAsia="Arial" w:hAnsi="Arial"/>
                <w:i/>
                <w:iCs/>
                <w:color w:val="2B2B2B"/>
                <w:sz w:val="19"/>
                <w:szCs w:val="19"/>
              </w:rPr>
              <w:t xml:space="preserve">Heute findet ihr heraus, wohin euer eigener Betrieb gehört.»</w:t>
            </w:r>
          </w:p>
        </w:tc>
      </w:tr>
    </w:tbl>
    <w:p>
      <w:pPr>
        <w:keepNext/>
        <w:spacing w:after="80" w:before="220"/>
      </w:pPr>
      <w:r>
        <w:rPr>
          <w:rFonts w:ascii="Arial" w:cs="Arial" w:eastAsia="Arial" w:hAnsi="Arial"/>
          <w:b/>
          <w:bCs/>
          <w:color w:val="2F6F73"/>
          <w:sz w:val="24"/>
          <w:szCs w:val="24"/>
        </w:rPr>
        <w:t xml:space="preserve">Lösung zu «Ordnet zu!» (Folie 3)</w:t>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00"/>
        <w:gridCol w:w="3400"/>
        <w:gridCol w:w="1700"/>
        <w:gridCol w:w="2106"/>
      </w:tblGrid>
      <w:tr>
        <w:trPr>
          <w:cantSplit/>
          <w:tblHeader/>
        </w:trPr>
        <w:tc>
          <w:tcPr>
            <w:tcW w:type="dxa" w:w="3000"/>
            <w:tcBorders>
              <w:top w:val="single" w:color="B9C7CF" w:sz="4"/>
              <w:left w:val="single" w:color="B9C7CF" w:sz="4"/>
              <w:bottom w:val="single" w:color="B9C7CF" w:sz="4"/>
              <w:right w:val="single" w:color="B9C7CF" w:sz="4"/>
            </w:tcBorders>
            <w:shd w:fill="E1ECEC" w:color="auto" w:val="clear"/>
            <w:tcMar>
              <w:top w:type="dxa" w:w="50"/>
              <w:left w:type="dxa" w:w="120"/>
              <w:bottom w:type="dxa" w:w="50"/>
              <w:right w:type="dxa" w:w="120"/>
            </w:tcMar>
            <w:vAlign w:val="top"/>
          </w:tcPr>
          <w:p>
            <w:pPr>
              <w:spacing w:after="0" w:before="0"/>
            </w:pPr>
            <w:r>
              <w:rPr>
                <w:rFonts w:ascii="Arial" w:cs="Arial" w:eastAsia="Arial" w:hAnsi="Arial"/>
                <w:b/>
                <w:bCs/>
                <w:color w:val="1E3A5F"/>
                <w:sz w:val="17"/>
                <w:szCs w:val="17"/>
              </w:rPr>
              <w:t xml:space="preserve">Betrieb</w:t>
            </w:r>
          </w:p>
        </w:tc>
        <w:tc>
          <w:tcPr>
            <w:tcW w:type="dxa" w:w="3400"/>
            <w:tcBorders>
              <w:top w:val="single" w:color="B9C7CF" w:sz="4"/>
              <w:left w:val="single" w:color="B9C7CF" w:sz="4"/>
              <w:bottom w:val="single" w:color="B9C7CF" w:sz="4"/>
              <w:right w:val="single" w:color="B9C7CF" w:sz="4"/>
            </w:tcBorders>
            <w:shd w:fill="E1ECEC" w:color="auto" w:val="clear"/>
            <w:tcMar>
              <w:top w:type="dxa" w:w="50"/>
              <w:left w:type="dxa" w:w="120"/>
              <w:bottom w:type="dxa" w:w="50"/>
              <w:right w:type="dxa" w:w="120"/>
            </w:tcMar>
            <w:vAlign w:val="top"/>
          </w:tcPr>
          <w:p>
            <w:pPr>
              <w:spacing w:after="0" w:before="0"/>
            </w:pPr>
            <w:r>
              <w:rPr>
                <w:rFonts w:ascii="Arial" w:cs="Arial" w:eastAsia="Arial" w:hAnsi="Arial"/>
                <w:b/>
                <w:bCs/>
                <w:color w:val="1E3A5F"/>
                <w:sz w:val="17"/>
                <w:szCs w:val="17"/>
              </w:rPr>
              <w:t xml:space="preserve">Was er macht</w:t>
            </w:r>
          </w:p>
        </w:tc>
        <w:tc>
          <w:tcPr>
            <w:tcW w:type="dxa" w:w="1700"/>
            <w:tcBorders>
              <w:top w:val="single" w:color="B9C7CF" w:sz="4"/>
              <w:left w:val="single" w:color="B9C7CF" w:sz="4"/>
              <w:bottom w:val="single" w:color="B9C7CF" w:sz="4"/>
              <w:right w:val="single" w:color="B9C7CF" w:sz="4"/>
            </w:tcBorders>
            <w:shd w:fill="E1ECEC" w:color="auto" w:val="clear"/>
            <w:tcMar>
              <w:top w:type="dxa" w:w="50"/>
              <w:left w:type="dxa" w:w="120"/>
              <w:bottom w:type="dxa" w:w="50"/>
              <w:right w:type="dxa" w:w="120"/>
            </w:tcMar>
            <w:vAlign w:val="top"/>
          </w:tcPr>
          <w:p>
            <w:pPr>
              <w:spacing w:after="0" w:before="0"/>
            </w:pPr>
            <w:r>
              <w:rPr>
                <w:rFonts w:ascii="Arial" w:cs="Arial" w:eastAsia="Arial" w:hAnsi="Arial"/>
                <w:b/>
                <w:bCs/>
                <w:color w:val="1E3A5F"/>
                <w:sz w:val="17"/>
                <w:szCs w:val="17"/>
              </w:rPr>
              <w:t xml:space="preserve">Betriebstyp</w:t>
            </w:r>
          </w:p>
        </w:tc>
        <w:tc>
          <w:tcPr>
            <w:tcW w:type="dxa" w:w="2106"/>
            <w:tcBorders>
              <w:top w:val="single" w:color="B9C7CF" w:sz="4"/>
              <w:left w:val="single" w:color="B9C7CF" w:sz="4"/>
              <w:bottom w:val="single" w:color="B9C7CF" w:sz="4"/>
              <w:right w:val="single" w:color="B9C7CF" w:sz="4"/>
            </w:tcBorders>
            <w:shd w:fill="E1ECEC" w:color="auto" w:val="clear"/>
            <w:tcMar>
              <w:top w:type="dxa" w:w="50"/>
              <w:left w:type="dxa" w:w="120"/>
              <w:bottom w:type="dxa" w:w="50"/>
              <w:right w:type="dxa" w:w="120"/>
            </w:tcMar>
            <w:vAlign w:val="top"/>
          </w:tcPr>
          <w:p>
            <w:pPr>
              <w:spacing w:after="0" w:before="0"/>
            </w:pPr>
            <w:r>
              <w:rPr>
                <w:rFonts w:ascii="Arial" w:cs="Arial" w:eastAsia="Arial" w:hAnsi="Arial"/>
                <w:b/>
                <w:bCs/>
                <w:color w:val="1E3A5F"/>
                <w:sz w:val="17"/>
                <w:szCs w:val="17"/>
              </w:rPr>
              <w:t xml:space="preserve">privat / öffentlich</w:t>
            </w:r>
          </w:p>
        </w:tc>
      </w:tr>
      <w:tr>
        <w:trPr>
          <w:cantSplit/>
        </w:trPr>
        <w:tc>
          <w:tcPr>
            <w:tcW w:type="dxa" w:w="30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Lindt &amp; Sprüngli, Kilchberg</w:t>
            </w:r>
          </w:p>
        </w:tc>
        <w:tc>
          <w:tcPr>
            <w:tcW w:type="dxa" w:w="34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stellt Schokolade her</w:t>
            </w:r>
          </w:p>
        </w:tc>
        <w:tc>
          <w:tcPr>
            <w:tcW w:type="dxa" w:w="17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Produktion</w:t>
            </w:r>
          </w:p>
        </w:tc>
        <w:tc>
          <w:tcPr>
            <w:tcW w:type="dxa" w:w="21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privat</w:t>
            </w:r>
          </w:p>
        </w:tc>
      </w:tr>
      <w:tr>
        <w:trPr>
          <w:cantSplit/>
        </w:trPr>
        <w:tc>
          <w:tcPr>
            <w:tcW w:type="dxa" w:w="30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Bauernhof im Dorf</w:t>
            </w:r>
          </w:p>
        </w:tc>
        <w:tc>
          <w:tcPr>
            <w:tcW w:type="dxa" w:w="34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produziert Milch, Gemüse oder Fleisch</w:t>
            </w:r>
          </w:p>
        </w:tc>
        <w:tc>
          <w:tcPr>
            <w:tcW w:type="dxa" w:w="17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Produktion</w:t>
            </w:r>
          </w:p>
        </w:tc>
        <w:tc>
          <w:tcPr>
            <w:tcW w:type="dxa" w:w="21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privat</w:t>
            </w:r>
          </w:p>
        </w:tc>
      </w:tr>
      <w:tr>
        <w:trPr>
          <w:cantSplit/>
        </w:trPr>
        <w:tc>
          <w:tcPr>
            <w:tcW w:type="dxa" w:w="30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ewz, Elektrizitätswerk der Stadt Zürich</w:t>
            </w:r>
          </w:p>
        </w:tc>
        <w:tc>
          <w:tcPr>
            <w:tcW w:type="dxa" w:w="34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produziert und liefert Strom</w:t>
            </w:r>
          </w:p>
        </w:tc>
        <w:tc>
          <w:tcPr>
            <w:tcW w:type="dxa" w:w="17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Produktion</w:t>
            </w:r>
          </w:p>
        </w:tc>
        <w:tc>
          <w:tcPr>
            <w:tcW w:type="dxa" w:w="21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öffentlich</w:t>
            </w:r>
          </w:p>
        </w:tc>
      </w:tr>
      <w:tr>
        <w:trPr>
          <w:cantSplit/>
        </w:trPr>
        <w:tc>
          <w:tcPr>
            <w:tcW w:type="dxa" w:w="30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Migros oder Coop</w:t>
            </w:r>
          </w:p>
        </w:tc>
        <w:tc>
          <w:tcPr>
            <w:tcW w:type="dxa" w:w="34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kauft Lebensmittel ein und verkauft sie weiter</w:t>
            </w:r>
          </w:p>
        </w:tc>
        <w:tc>
          <w:tcPr>
            <w:tcW w:type="dxa" w:w="17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Handel</w:t>
            </w:r>
          </w:p>
        </w:tc>
        <w:tc>
          <w:tcPr>
            <w:tcW w:type="dxa" w:w="21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privat (Genossenschaft)</w:t>
            </w:r>
          </w:p>
        </w:tc>
      </w:tr>
      <w:tr>
        <w:trPr>
          <w:cantSplit/>
        </w:trPr>
        <w:tc>
          <w:tcPr>
            <w:tcW w:type="dxa" w:w="30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Digitec Galaxus</w:t>
            </w:r>
          </w:p>
        </w:tc>
        <w:tc>
          <w:tcPr>
            <w:tcW w:type="dxa" w:w="34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verkauft Waren im Online-Shop</w:t>
            </w:r>
          </w:p>
        </w:tc>
        <w:tc>
          <w:tcPr>
            <w:tcW w:type="dxa" w:w="17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Handel</w:t>
            </w:r>
          </w:p>
        </w:tc>
        <w:tc>
          <w:tcPr>
            <w:tcW w:type="dxa" w:w="21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privat</w:t>
            </w:r>
          </w:p>
        </w:tc>
      </w:tr>
      <w:tr>
        <w:trPr>
          <w:cantSplit/>
        </w:trPr>
        <w:tc>
          <w:tcPr>
            <w:tcW w:type="dxa" w:w="30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Kiosk am Bahnhof</w:t>
            </w:r>
          </w:p>
        </w:tc>
        <w:tc>
          <w:tcPr>
            <w:tcW w:type="dxa" w:w="34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verkauft Zeitungen, Snacks und Getränke</w:t>
            </w:r>
          </w:p>
        </w:tc>
        <w:tc>
          <w:tcPr>
            <w:tcW w:type="dxa" w:w="17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Handel</w:t>
            </w:r>
          </w:p>
        </w:tc>
        <w:tc>
          <w:tcPr>
            <w:tcW w:type="dxa" w:w="21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privat</w:t>
            </w:r>
          </w:p>
        </w:tc>
      </w:tr>
      <w:tr>
        <w:trPr>
          <w:cantSplit/>
        </w:trPr>
        <w:tc>
          <w:tcPr>
            <w:tcW w:type="dxa" w:w="30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VBZ, Verkehrsbetriebe Zürich</w:t>
            </w:r>
          </w:p>
        </w:tc>
        <w:tc>
          <w:tcPr>
            <w:tcW w:type="dxa" w:w="34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bringt Menschen mit Tram und Bus ans Ziel</w:t>
            </w:r>
          </w:p>
        </w:tc>
        <w:tc>
          <w:tcPr>
            <w:tcW w:type="dxa" w:w="17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Dienstleistung</w:t>
            </w:r>
          </w:p>
        </w:tc>
        <w:tc>
          <w:tcPr>
            <w:tcW w:type="dxa" w:w="21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öffentlich</w:t>
            </w:r>
          </w:p>
        </w:tc>
      </w:tr>
      <w:tr>
        <w:trPr>
          <w:cantSplit/>
        </w:trPr>
        <w:tc>
          <w:tcPr>
            <w:tcW w:type="dxa" w:w="30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Coiffeursalon</w:t>
            </w:r>
          </w:p>
        </w:tc>
        <w:tc>
          <w:tcPr>
            <w:tcW w:type="dxa" w:w="34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schneidet und färbt Haare</w:t>
            </w:r>
          </w:p>
        </w:tc>
        <w:tc>
          <w:tcPr>
            <w:tcW w:type="dxa" w:w="17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Dienstleistung</w:t>
            </w:r>
          </w:p>
        </w:tc>
        <w:tc>
          <w:tcPr>
            <w:tcW w:type="dxa" w:w="21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privat</w:t>
            </w:r>
          </w:p>
        </w:tc>
      </w:tr>
      <w:tr>
        <w:trPr>
          <w:cantSplit/>
        </w:trPr>
        <w:tc>
          <w:tcPr>
            <w:tcW w:type="dxa" w:w="30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Spital</w:t>
            </w:r>
          </w:p>
        </w:tc>
        <w:tc>
          <w:tcPr>
            <w:tcW w:type="dxa" w:w="34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untersucht, behandelt und pflegt Menschen</w:t>
            </w:r>
          </w:p>
        </w:tc>
        <w:tc>
          <w:tcPr>
            <w:tcW w:type="dxa" w:w="17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Dienstleistung</w:t>
            </w:r>
          </w:p>
        </w:tc>
        <w:tc>
          <w:tcPr>
            <w:tcW w:type="dxa" w:w="21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meist öffentlich</w:t>
            </w:r>
          </w:p>
        </w:tc>
      </w:tr>
    </w:tbl>
    <w:p>
      <w:pPr>
        <w:spacing w:after="80" w:before="60"/>
      </w:pPr>
      <w:r>
        <w:rPr>
          <w:rFonts w:ascii="Arial" w:cs="Arial" w:eastAsia="Arial" w:hAnsi="Arial"/>
          <w:i/>
          <w:iCs/>
          <w:color w:val="6B6B6B"/>
          <w:sz w:val="17"/>
          <w:szCs w:val="17"/>
        </w:rPr>
        <w:t xml:space="preserve">Hinweis für die Lehrperson: «Öffentlich» sagt, wem der Betrieb gehört oder wer ihn bezahlt. Es ist keine eigene Betriebsart. Ein Spital oder die Schule sind Dienstleistungsbetriebe, meist öffentliche.</w:t>
      </w:r>
    </w:p>
    <w:p>
      <w:pPr>
        <w:keepNext/>
        <w:spacing w:after="80" w:before="220"/>
      </w:pPr>
      <w:r>
        <w:rPr>
          <w:rFonts w:ascii="Arial" w:cs="Arial" w:eastAsia="Arial" w:hAnsi="Arial"/>
          <w:b/>
          <w:bCs/>
          <w:color w:val="2F6F73"/>
          <w:sz w:val="24"/>
          <w:szCs w:val="24"/>
        </w:rPr>
        <w:t xml:space="preserve">Tipps &amp; Stolpersteine</w:t>
      </w:r>
    </w:p>
    <w:p>
      <w:pPr>
        <w:pStyle w:val="ListParagraph"/>
        <w:numPr>
          <w:ilvl w:val="0"/>
          <w:numId w:val="2"/>
        </w:numPr>
        <w:spacing w:after="40" w:before="0"/>
      </w:pPr>
      <w:r>
        <w:rPr>
          <w:rFonts w:ascii="Arial" w:cs="Arial" w:eastAsia="Arial" w:hAnsi="Arial"/>
          <w:color w:val="2B2B2B"/>
          <w:sz w:val="19"/>
          <w:szCs w:val="19"/>
        </w:rPr>
        <w:t xml:space="preserve">Mit Betrieben aus der eigenen Gemeinde wird es konkreter. Die Folien lassen sich dafür anpassen.</w:t>
      </w:r>
    </w:p>
    <w:p>
      <w:pPr>
        <w:pStyle w:val="ListParagraph"/>
        <w:numPr>
          <w:ilvl w:val="0"/>
          <w:numId w:val="2"/>
        </w:numPr>
        <w:spacing w:after="40" w:before="0"/>
      </w:pPr>
      <w:r>
        <w:rPr>
          <w:rFonts w:ascii="Arial" w:cs="Arial" w:eastAsia="Arial" w:hAnsi="Arial"/>
          <w:color w:val="2B2B2B"/>
          <w:sz w:val="19"/>
          <w:szCs w:val="19"/>
        </w:rPr>
        <w:t xml:space="preserve">Knifflige Fälle sind ein Gewinn. Die Bäckerei stellt her und verkauft. Entscheidend ist die Haupttätigkeit.</w:t>
      </w:r>
    </w:p>
    <w:p>
      <w:pPr>
        <w:pStyle w:val="ListParagraph"/>
        <w:numPr>
          <w:ilvl w:val="0"/>
          <w:numId w:val="2"/>
        </w:numPr>
        <w:spacing w:after="40" w:before="0"/>
      </w:pPr>
      <w:r>
        <w:rPr>
          <w:rFonts w:ascii="Arial" w:cs="Arial" w:eastAsia="Arial" w:hAnsi="Arial"/>
          <w:color w:val="2B2B2B"/>
          <w:sz w:val="19"/>
          <w:szCs w:val="19"/>
        </w:rPr>
        <w:t xml:space="preserve">Im Soziogramm darf niemand «falsch» stehen. Die Mitte «Noch unsicher?» ist ausdrücklich erlaubt.</w:t>
      </w:r>
    </w:p>
    <w:p>
      <w:pPr>
        <w:pStyle w:val="ListParagraph"/>
        <w:numPr>
          <w:ilvl w:val="0"/>
          <w:numId w:val="2"/>
        </w:numPr>
        <w:spacing w:after="40" w:before="0"/>
      </w:pPr>
      <w:r>
        <w:rPr>
          <w:rFonts w:ascii="Arial" w:cs="Arial" w:eastAsia="Arial" w:hAnsi="Arial"/>
          <w:color w:val="2B2B2B"/>
          <w:sz w:val="19"/>
          <w:szCs w:val="19"/>
        </w:rPr>
        <w:t xml:space="preserve">Kinder ohne Betrieb nicht exponieren. Sie nennen ihren Wunschbetrieb. Die Suche folgt in 2.3.</w:t>
      </w:r>
    </w:p>
    <w:p>
      <w:pPr>
        <w:pStyle w:val="ListParagraph"/>
        <w:numPr>
          <w:ilvl w:val="0"/>
          <w:numId w:val="2"/>
        </w:numPr>
        <w:spacing w:after="40" w:before="0"/>
      </w:pPr>
      <w:r>
        <w:rPr>
          <w:rFonts w:ascii="Arial" w:cs="Arial" w:eastAsia="Arial" w:hAnsi="Arial"/>
          <w:color w:val="2B2B2B"/>
          <w:sz w:val="19"/>
          <w:szCs w:val="19"/>
        </w:rPr>
        <w:t xml:space="preserve">Gruppen für 2.4 gleich notieren (ähnliche Betriebe oder ähnliche Interessen, höchstens 4 Kinder pro Gruppe).</w:t>
      </w:r>
    </w:p>
    <w:p>
      <w:pPr>
        <w:spacing w:after="60" w:before="0"/>
      </w:pPr>
      <w:r>
        <w:rPr>
          <w:rFonts w:ascii="Arial" w:cs="Arial" w:eastAsia="Arial" w:hAnsi="Arial"/>
          <w:color w:val="2B2B2B"/>
          <w:sz w:val="21"/>
          <w:szCs w:val="21"/>
        </w:rPr>
        <w:t xml:space="preserve"/>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103"/>
        <w:gridCol w:w="5103"/>
      </w:tblGrid>
      <w:tr>
        <w:trPr>
          <w:cantSplit/>
        </w:trPr>
        <w:tc>
          <w:tcPr>
            <w:tcW w:type="dxa" w:w="5103"/>
            <w:tcBorders>
              <w:top w:val="single" w:color="B9C7CF" w:sz="6"/>
              <w:left w:val="single" w:color="B9C7CF" w:sz="6"/>
              <w:bottom w:val="single" w:color="B9C7CF" w:sz="6"/>
              <w:right w:val="single" w:color="B9C7CF" w:sz="6"/>
            </w:tcBorders>
            <w:shd w:fill="E1EC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20"/>
                <w:szCs w:val="20"/>
              </w:rPr>
              <w:t xml:space="preserve">Einfacher</w:t>
            </w:r>
          </w:p>
        </w:tc>
        <w:tc>
          <w:tcPr>
            <w:tcW w:type="dxa" w:w="5103"/>
            <w:tcBorders>
              <w:top w:val="single" w:color="B9C7CF" w:sz="6"/>
              <w:left w:val="single" w:color="B9C7CF" w:sz="6"/>
              <w:bottom w:val="single" w:color="B9C7CF" w:sz="6"/>
              <w:right w:val="single" w:color="B9C7CF" w:sz="6"/>
            </w:tcBorders>
            <w:shd w:fill="F4B183" w:color="auto" w:val="clear"/>
            <w:tcMar>
              <w:top w:type="dxa" w:w="80"/>
              <w:left w:type="dxa" w:w="120"/>
              <w:bottom w:type="dxa" w:w="80"/>
              <w:right w:type="dxa" w:w="120"/>
            </w:tcMar>
            <w:vAlign w:val="top"/>
          </w:tcPr>
          <w:p>
            <w:pPr>
              <w:spacing w:after="0" w:before="0"/>
            </w:pPr>
            <w:r>
              <w:rPr>
                <w:rFonts w:ascii="Arial" w:cs="Arial" w:eastAsia="Arial" w:hAnsi="Arial"/>
                <w:b/>
                <w:bCs/>
                <w:color w:val="1E3A5F"/>
                <w:sz w:val="20"/>
                <w:szCs w:val="20"/>
              </w:rPr>
              <w:t xml:space="preserve">Anspruchsvoller</w:t>
            </w:r>
          </w:p>
        </w:tc>
      </w:tr>
      <w:tr>
        <w:trPr>
          <w:cantSplit/>
        </w:trPr>
        <w:tc>
          <w:tcPr>
            <w:tcW w:type="dxa" w:w="5103"/>
            <w:tcBorders>
              <w:top w:val="single" w:color="B9C7CF" w:sz="6"/>
              <w:left w:val="single" w:color="B9C7CF" w:sz="6"/>
              <w:bottom w:val="single" w:color="B9C7CF" w:sz="6"/>
              <w:right w:val="single" w:color="B9C7CF" w:sz="6"/>
            </w:tcBorders>
            <w:tcMar>
              <w:top w:type="dxa" w:w="80"/>
              <w:left w:type="dxa" w:w="120"/>
              <w:bottom w:type="dxa" w:w="120"/>
              <w:right w:type="dxa" w:w="120"/>
            </w:tcMar>
            <w:vAlign w:val="top"/>
          </w:tcPr>
          <w:p>
            <w:pPr>
              <w:spacing w:after="30" w:before="0"/>
            </w:pPr>
            <w:r>
              <w:rPr>
                <w:rFonts w:ascii="Arial" w:cs="Arial" w:eastAsia="Arial" w:hAnsi="Arial"/>
                <w:color w:val="2B2B2B"/>
                <w:sz w:val="18"/>
                <w:szCs w:val="18"/>
              </w:rPr>
              <w:t xml:space="preserve">• Nur sechs Beispielbetriebe zuordnen.</w:t>
            </w:r>
          </w:p>
          <w:p>
            <w:pPr>
              <w:spacing w:after="30" w:before="0"/>
            </w:pPr>
            <w:r>
              <w:rPr>
                <w:rFonts w:ascii="Arial" w:cs="Arial" w:eastAsia="Arial" w:hAnsi="Arial"/>
                <w:color w:val="2B2B2B"/>
                <w:sz w:val="18"/>
                <w:szCs w:val="18"/>
              </w:rPr>
              <w:t xml:space="preserve">• Im Soziogramm zu zweit mit einem Kind mit ähnlichem Betrieb hinstehen.</w:t>
            </w:r>
          </w:p>
        </w:tc>
        <w:tc>
          <w:tcPr>
            <w:tcW w:type="dxa" w:w="5103"/>
            <w:tcBorders>
              <w:top w:val="single" w:color="B9C7CF" w:sz="6"/>
              <w:left w:val="single" w:color="B9C7CF" w:sz="6"/>
              <w:bottom w:val="single" w:color="B9C7CF" w:sz="6"/>
              <w:right w:val="single" w:color="B9C7CF" w:sz="6"/>
            </w:tcBorders>
            <w:tcMar>
              <w:top w:type="dxa" w:w="80"/>
              <w:left w:type="dxa" w:w="120"/>
              <w:bottom w:type="dxa" w:w="120"/>
              <w:right w:type="dxa" w:w="120"/>
            </w:tcMar>
            <w:vAlign w:val="top"/>
          </w:tcPr>
          <w:p>
            <w:pPr>
              <w:spacing w:after="30" w:before="0"/>
            </w:pPr>
            <w:r>
              <w:rPr>
                <w:rFonts w:ascii="Arial" w:cs="Arial" w:eastAsia="Arial" w:hAnsi="Arial"/>
                <w:color w:val="2B2B2B"/>
                <w:sz w:val="18"/>
                <w:szCs w:val="18"/>
              </w:rPr>
              <w:t xml:space="preserve">• Für einen Betrieb erklären, wie Produktion und Handel zusammenhängen (z. B. Schokolade: Fabrik → Supermarkt).</w:t>
            </w:r>
          </w:p>
          <w:p>
            <w:pPr>
              <w:spacing w:after="30" w:before="0"/>
            </w:pPr>
            <w:r>
              <w:rPr>
                <w:rFonts w:ascii="Arial" w:cs="Arial" w:eastAsia="Arial" w:hAnsi="Arial"/>
                <w:color w:val="2B2B2B"/>
                <w:sz w:val="18"/>
                <w:szCs w:val="18"/>
              </w:rPr>
              <w:t xml:space="preserve">• Ein zweites Soziogramm zur Frage, wie weit der eigene Betrieb von der Schule entfernt ist.</w:t>
            </w:r>
          </w:p>
        </w:tc>
      </w:tr>
    </w:tbl>
    <w:p>
      <w:pPr>
        <w:keepNext/>
        <w:spacing w:after="80" w:before="220"/>
      </w:pPr>
      <w:r>
        <w:rPr>
          <w:rFonts w:ascii="Arial" w:cs="Arial" w:eastAsia="Arial" w:hAnsi="Arial"/>
          <w:b/>
          <w:bCs/>
          <w:color w:val="2F6F73"/>
          <w:sz w:val="24"/>
          <w:szCs w:val="24"/>
        </w:rPr>
        <w:t xml:space="preserve">Zukunftstag oder anderer Betriebsbesuch?</w:t>
      </w:r>
    </w:p>
    <w:p>
      <w:pPr>
        <w:spacing w:after="30" w:before="0"/>
      </w:pPr>
      <w:r>
        <w:rPr>
          <w:rFonts w:ascii="Arial" w:cs="Arial" w:eastAsia="Arial" w:hAnsi="Arial"/>
          <w:color w:val="2B2B2B"/>
          <w:sz w:val="19"/>
          <w:szCs w:val="19"/>
        </w:rPr>
        <w:t xml:space="preserve">Beim Zukunftstag begleiten viele Kinder eine Bezugsperson. Der Betrieb steht dann oft schon fest. Bei einem anderen Betriebsbesuch kann die Klasse auch gemeinsam einen Betrieb wählen und ihn im Plenum einordnen.</w:t>
      </w:r>
    </w:p>
    <w:p>
      <w:pPr>
        <w:keepNext/>
        <w:spacing w:after="80" w:before="220"/>
      </w:pPr>
      <w:r>
        <w:rPr>
          <w:rFonts w:ascii="Arial" w:cs="Arial" w:eastAsia="Arial" w:hAnsi="Arial"/>
          <w:b/>
          <w:bCs/>
          <w:color w:val="2F6F73"/>
          <w:sz w:val="24"/>
          <w:szCs w:val="24"/>
        </w:rPr>
        <w:t xml:space="preserve">Nach dem Modul</w:t>
      </w:r>
    </w:p>
    <w:p>
      <w:pPr>
        <w:spacing w:after="40" w:before="0"/>
      </w:pPr>
      <w:r>
        <w:rPr>
          <w:rFonts w:ascii="Arial" w:cs="Arial" w:eastAsia="Arial" w:hAnsi="Arial"/>
          <w:b/>
          <w:bCs/>
          <w:color w:val="1E3A5F"/>
          <w:sz w:val="19"/>
          <w:szCs w:val="19"/>
        </w:rPr>
        <w:t xml:space="preserve">Aufbewahren: </w:t>
      </w:r>
      <w:r>
        <w:rPr>
          <w:rFonts w:ascii="Arial" w:cs="Arial" w:eastAsia="Arial" w:hAnsi="Arial"/>
          <w:color w:val="2B2B2B"/>
          <w:sz w:val="19"/>
          <w:szCs w:val="19"/>
        </w:rPr>
        <w:t xml:space="preserve">Betriebskarte in die Mappe. Die Lehrperson notiert die Gruppen für 2.4.</w:t>
      </w:r>
    </w:p>
    <w:p>
      <w:pPr>
        <w:spacing w:after="0" w:before="0"/>
      </w:pPr>
      <w:r>
        <w:rPr>
          <w:rFonts w:ascii="Arial" w:cs="Arial" w:eastAsia="Arial" w:hAnsi="Arial"/>
          <w:b/>
          <w:bCs/>
          <w:color w:val="1E3A5F"/>
          <w:sz w:val="19"/>
          <w:szCs w:val="19"/>
        </w:rPr>
        <w:t xml:space="preserve">Weiter geht es mit: </w:t>
      </w:r>
      <w:r>
        <w:rPr>
          <w:rFonts w:ascii="Arial" w:cs="Arial" w:eastAsia="Arial" w:hAnsi="Arial"/>
          <w:color w:val="2B2B2B"/>
          <w:sz w:val="19"/>
          <w:szCs w:val="19"/>
        </w:rPr>
        <w:t xml:space="preserve">Modul 2.3 «Betriebssuche», falls genügend Zeit bleibt, um den Betrieb zu suchen. Sind schon alle Betriebe gefunden, geht es direkt mit 2.4 weiter (im Minimalprogramm mit 2.6).</w:t>
      </w:r>
    </w:p>
    <w:sectPr>
      <w:footerReference w:type="default" r:id="rId7"/>
      <w:pgSz w:w="11906" w:h="16838" w:orient="portrait"/>
      <w:pgMar w:top="850" w:right="850" w:bottom="850" w:left="850" w:header="708"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F6F73" w:sz="6" w:space="4"/>
      </w:pBdr>
      <w:tabs>
        <w:tab w:val="right" w:pos="10206"/>
      </w:tabs>
    </w:pPr>
    <w:r>
      <w:rPr>
        <w:rFonts w:ascii="Arial" w:cs="Arial" w:eastAsia="Arial" w:hAnsi="Arial"/>
        <w:b/>
        <w:bCs/>
        <w:color w:val="2F6F73"/>
        <w:sz w:val="16"/>
        <w:szCs w:val="16"/>
      </w:rPr>
      <w:t xml:space="preserve">Praxisfenster</w:t>
    </w:r>
    <w:r>
      <w:rPr>
        <w:rFonts w:ascii="Arial" w:cs="Arial" w:eastAsia="Arial" w:hAnsi="Arial"/>
        <w:color w:val="6B6B6B"/>
        <w:sz w:val="16"/>
        <w:szCs w:val="16"/>
      </w:rPr>
      <w:t xml:space="preserve">   Ein Blick in die Arbeitswelt. Ein Schritt für mich.</w:t>
    </w:r>
    <w:r>
      <w:rPr>
        <w:rFonts w:ascii="Arial" w:cs="Arial" w:eastAsia="Arial" w:hAnsi="Arial"/>
        <w:color w:val="2F6F73"/>
        <w:sz w:val="16"/>
        <w:szCs w:val="16"/>
      </w:rPr>
      <w:t xml:space="preserve">	Detailplanung 2.2 · Betriebstypen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abstractNum w:abstractNumId="3"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B2B2B"/>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71b06ef9a92ef32bdfba6bc49d50524b100e3ef5.png"/><Relationship Id="rId9" Type="http://schemas.openxmlformats.org/officeDocument/2006/relationships/image" Target="media/3692068aca4d2904bc4c59a42ff275b612fd59d7.png"/><Relationship Id="rId10" Type="http://schemas.openxmlformats.org/officeDocument/2006/relationships/image" Target="media/31de763d8d4c066619cb3a258ad61fb06ffdf49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Detailplanung 2.2 Betriebstypen</dc:title>
  <dc:creator>Praxisfenster</dc:creator>
  <cp:lastModifiedBy>Un-named</cp:lastModifiedBy>
  <cp:revision>1</cp:revision>
  <dcterms:created xsi:type="dcterms:W3CDTF">2026-10-19T04:39:54.571Z</dcterms:created>
  <dcterms:modified xsi:type="dcterms:W3CDTF">2026-10-19T04:39:54.571Z</dcterms:modified>
</cp:coreProperties>
</file>

<file path=docProps/custom.xml><?xml version="1.0" encoding="utf-8"?>
<Properties xmlns="http://schemas.openxmlformats.org/officeDocument/2006/custom-properties" xmlns:vt="http://schemas.openxmlformats.org/officeDocument/2006/docPropsVTypes"/>
</file>