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0"/>
        <w:gridCol w:w="2906"/>
      </w:tblGrid>
      <w:tr>
        <w:trPr>
          <w:cantSplit/>
        </w:trPr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200"/>
              <w:bottom w:type="dxa" w:w="160"/>
              <w:right w:type="dxa" w:w="120"/>
            </w:tcMar>
            <w:vAlign w:val="top"/>
          </w:tcPr>
          <w:p>
            <w:pPr>
              <w:spacing w:after="60" w:before="0"/>
            </w:pPr>
            <w:r>
              <w:drawing>
                <wp:inline distT="0" distB="0" distL="0" distR="0">
                  <wp:extent cx="2095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F6F73"/>
                <w:sz w:val="22"/>
                <w:szCs w:val="22"/>
              </w:rPr>
              <w:t xml:space="preserve">  Praxisfenster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  <w:shd w:fill="F4B183" w:color="auto" w:val="clear"/>
              </w:rPr>
              <w:t xml:space="preserve"> Modul 1.3 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40"/>
                <w:szCs w:val="40"/>
              </w:rPr>
              <w:t xml:space="preserve">Meine 8 Fähigkeitsfenster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20"/>
                <w:szCs w:val="20"/>
              </w:rPr>
              <w:t xml:space="preserve">Menschen sind auf verschiedene Arten klug.</w:t>
            </w:r>
          </w:p>
        </w:tc>
        <w:tc>
          <w:tcPr>
            <w:tcW w:type="dxa" w:w="2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p>
      <w:pPr>
        <w:spacing w:after="140" w:before="0"/>
      </w:pPr>
      <w:r>
        <w:rPr>
          <w:rFonts w:ascii="Arial" w:cs="Arial" w:eastAsia="Arial" w:hAnsi="Arial"/>
          <w:color w:val="2B2B2B"/>
          <w:sz w:val="20"/>
          <w:szCs w:val="20"/>
        </w:rPr>
        <w:t xml:space="preserve">Der Forscher Howard Gardner hat beschrieben, dass Menschen auf ganz verschiedene Arten klug sind. Im Praxisfenster nennen wir diese Arten </w:t>
      </w:r>
      <w:r>
        <w:rPr>
          <w:rFonts w:ascii="Arial" w:cs="Arial" w:eastAsia="Arial" w:hAnsi="Arial"/>
          <w:b/>
          <w:bCs/>
          <w:color w:val="2F6F73"/>
          <w:sz w:val="20"/>
          <w:szCs w:val="20"/>
        </w:rPr>
        <w:t xml:space="preserve">Fähigkeitsfenster</w:t>
      </w:r>
      <w:r>
        <w:rPr>
          <w:rFonts w:ascii="Arial" w:cs="Arial" w:eastAsia="Arial" w:hAnsi="Arial"/>
          <w:color w:val="2B2B2B"/>
          <w:sz w:val="20"/>
          <w:szCs w:val="20"/>
        </w:rPr>
        <w:t xml:space="preserve">. Jedes Fähigkeitsfenster zeigt etwas, das du tun, üben und entdecken kannst.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FFFFFF" w:sz="48"/>
          <w:insideV w:val="single" w:color="FFFFFF" w:sz="48"/>
        </w:tblBorders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CE5D3" w:color="auto" w:val="clear"/>
            <w:tcMar>
              <w:top w:type="dxa" w:w="220"/>
              <w:left w:type="dxa" w:w="200"/>
              <w:bottom w:type="dxa" w:w="220"/>
              <w:right w:type="dxa" w:w="180"/>
            </w:tcMar>
            <w:vAlign w:val="top"/>
          </w:tcPr>
          <w:p>
            <w:pPr>
              <w:spacing w:after="60" w:before="0"/>
            </w:pPr>
            <w:r>
              <w:drawing>
                <wp:inline distT="0" distB="0" distL="0" distR="0">
                  <wp:extent cx="38100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C86A2E"/>
                <w:sz w:val="30"/>
                <w:szCs w:val="30"/>
              </w:rPr>
              <w:t xml:space="preserve">   Sprache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1"/>
                <w:szCs w:val="21"/>
              </w:rPr>
              <w:t xml:space="preserve">Mit Sprache wirken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color w:val="2B2B2B"/>
                <w:sz w:val="22"/>
                <w:szCs w:val="22"/>
              </w:rPr>
              <w:t xml:space="preserve">Ich erzähle, erkläre, lese und schreibe so, dass andere mich verstehen.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18"/>
                <w:szCs w:val="18"/>
              </w:rPr>
              <w:t xml:space="preserve">Zum Beispiel  </w:t>
            </w: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eine Spielregel erklären, eine Geschichte erzählen, ein Interview führen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CEAEF" w:color="auto" w:val="clear"/>
            <w:tcMar>
              <w:top w:type="dxa" w:w="220"/>
              <w:left w:type="dxa" w:w="200"/>
              <w:bottom w:type="dxa" w:w="220"/>
              <w:right w:type="dxa" w:w="180"/>
            </w:tcMar>
            <w:vAlign w:val="top"/>
          </w:tcPr>
          <w:p>
            <w:pPr>
              <w:spacing w:after="60" w:before="0"/>
            </w:pPr>
            <w:r>
              <w:drawing>
                <wp:inline distT="0" distB="0" distL="0" distR="0">
                  <wp:extent cx="38100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E7186"/>
                <w:sz w:val="30"/>
                <w:szCs w:val="30"/>
              </w:rPr>
              <w:t xml:space="preserve">   Knobeln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1"/>
                <w:szCs w:val="21"/>
              </w:rPr>
              <w:t xml:space="preserve">Knobeln und begründen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color w:val="2B2B2B"/>
                <w:sz w:val="22"/>
                <w:szCs w:val="22"/>
              </w:rPr>
              <w:t xml:space="preserve">Ich zähle, rechne, ordne, prüfe und finde heraus, warum etwas so ist.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18"/>
                <w:szCs w:val="18"/>
              </w:rPr>
              <w:t xml:space="preserve">Zum Beispiel  </w:t>
            </w: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einen Einkauf planen, ein Rätsel lösen, herausfinden, warum etwas nicht funktioniert</w:t>
            </w:r>
          </w:p>
        </w:tc>
      </w:tr>
      <w:tr>
        <w:trPr>
          <w:cantSplit/>
        </w:trP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6E3F4" w:color="auto" w:val="clear"/>
            <w:tcMar>
              <w:top w:type="dxa" w:w="220"/>
              <w:left w:type="dxa" w:w="200"/>
              <w:bottom w:type="dxa" w:w="220"/>
              <w:right w:type="dxa" w:w="180"/>
            </w:tcMar>
            <w:vAlign w:val="top"/>
          </w:tcPr>
          <w:p>
            <w:pPr>
              <w:spacing w:after="60" w:before="0"/>
            </w:pPr>
            <w:r>
              <w:drawing>
                <wp:inline distT="0" distB="0" distL="0" distR="0">
                  <wp:extent cx="38100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6A5FA8"/>
                <w:sz w:val="30"/>
                <w:szCs w:val="30"/>
              </w:rPr>
              <w:t xml:space="preserve">   Raum &amp; Bild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1"/>
                <w:szCs w:val="21"/>
              </w:rPr>
              <w:t xml:space="preserve">In Räumen und Bildern denken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color w:val="2B2B2B"/>
                <w:sz w:val="22"/>
                <w:szCs w:val="22"/>
              </w:rPr>
              <w:t xml:space="preserve">Ich stelle mir Dinge im Raum vor, zeichne, baue nach Plan und finde mich zurecht.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18"/>
                <w:szCs w:val="18"/>
              </w:rPr>
              <w:t xml:space="preserve">Zum Beispiel  </w:t>
            </w: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nach Plan bauen, eine Karte zeichnen, ein Zimmer neu einrichten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DADD" w:color="auto" w:val="clear"/>
            <w:tcMar>
              <w:top w:type="dxa" w:w="220"/>
              <w:left w:type="dxa" w:w="200"/>
              <w:bottom w:type="dxa" w:w="220"/>
              <w:right w:type="dxa" w:w="180"/>
            </w:tcMar>
            <w:vAlign w:val="top"/>
          </w:tcPr>
          <w:p>
            <w:pPr>
              <w:spacing w:after="60" w:before="0"/>
            </w:pPr>
            <w:r>
              <w:drawing>
                <wp:inline distT="0" distB="0" distL="0" distR="0">
                  <wp:extent cx="38100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B23A48"/>
                <w:sz w:val="30"/>
                <w:szCs w:val="30"/>
              </w:rPr>
              <w:t xml:space="preserve">   Körper &amp; Hände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1"/>
                <w:szCs w:val="21"/>
              </w:rPr>
              <w:t xml:space="preserve">Mit Körper und Händen können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color w:val="2B2B2B"/>
                <w:sz w:val="22"/>
                <w:szCs w:val="22"/>
              </w:rPr>
              <w:t xml:space="preserve">Ich bewege mich geschickt und arbeite genau mit meinen Händen.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18"/>
                <w:szCs w:val="18"/>
              </w:rPr>
              <w:t xml:space="preserve">Zum Beispiel  </w:t>
            </w: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ein Velo flicken, einen Ball präzise passen, Teig formen</w:t>
            </w:r>
          </w:p>
        </w:tc>
      </w:tr>
      <w:tr>
        <w:trPr>
          <w:cantSplit/>
        </w:trP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EFC2" w:color="auto" w:val="clear"/>
            <w:tcMar>
              <w:top w:type="dxa" w:w="220"/>
              <w:left w:type="dxa" w:w="200"/>
              <w:bottom w:type="dxa" w:w="220"/>
              <w:right w:type="dxa" w:w="180"/>
            </w:tcMar>
            <w:vAlign w:val="top"/>
          </w:tcPr>
          <w:p>
            <w:pPr>
              <w:spacing w:after="60" w:before="0"/>
            </w:pPr>
            <w:r>
              <w:drawing>
                <wp:inline distT="0" distB="0" distL="0" distR="0">
                  <wp:extent cx="38100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07800"/>
                <w:sz w:val="30"/>
                <w:szCs w:val="30"/>
              </w:rPr>
              <w:t xml:space="preserve">   Klang &amp; Rhythmus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1"/>
                <w:szCs w:val="21"/>
              </w:rPr>
              <w:t xml:space="preserve">Klänge und Rhythmen gestalten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color w:val="2B2B2B"/>
                <w:sz w:val="22"/>
                <w:szCs w:val="22"/>
              </w:rPr>
              <w:t xml:space="preserve">Ich höre genau hin, singe, spiele und erfinde Rhythmen.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18"/>
                <w:szCs w:val="18"/>
              </w:rPr>
              <w:t xml:space="preserve">Zum Beispiel  </w:t>
            </w: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ein Lied einüben, einen Beat erfinden, Geräusche erkennen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DDEB" w:color="auto" w:val="clear"/>
            <w:tcMar>
              <w:top w:type="dxa" w:w="220"/>
              <w:left w:type="dxa" w:w="200"/>
              <w:bottom w:type="dxa" w:w="220"/>
              <w:right w:type="dxa" w:w="180"/>
            </w:tcMar>
            <w:vAlign w:val="top"/>
          </w:tcPr>
          <w:p>
            <w:pPr>
              <w:spacing w:after="60" w:before="0"/>
            </w:pPr>
            <w:r>
              <w:drawing>
                <wp:inline distT="0" distB="0" distL="0" distR="0">
                  <wp:extent cx="38100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8467E"/>
                <w:sz w:val="30"/>
                <w:szCs w:val="30"/>
              </w:rPr>
              <w:t xml:space="preserve">   Miteinander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1"/>
                <w:szCs w:val="21"/>
              </w:rPr>
              <w:t xml:space="preserve">Andere verstehen und zusammenarbeiten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color w:val="2B2B2B"/>
                <w:sz w:val="22"/>
                <w:szCs w:val="22"/>
              </w:rPr>
              <w:t xml:space="preserve">Ich höre anderen zu, helfe, erkläre und arbeite gut mit anderen zusammen.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18"/>
                <w:szCs w:val="18"/>
              </w:rPr>
              <w:t xml:space="preserve">Zum Beispiel  </w:t>
            </w: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einen Streit schlichten, ein Team anleiten, Gäste begrüssen</w:t>
            </w:r>
          </w:p>
        </w:tc>
      </w:tr>
      <w:tr>
        <w:trPr>
          <w:cantSplit/>
        </w:trP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CE2EC" w:color="auto" w:val="clear"/>
            <w:tcMar>
              <w:top w:type="dxa" w:w="220"/>
              <w:left w:type="dxa" w:w="200"/>
              <w:bottom w:type="dxa" w:w="220"/>
              <w:right w:type="dxa" w:w="180"/>
            </w:tcMar>
            <w:vAlign w:val="top"/>
          </w:tcPr>
          <w:p>
            <w:pPr>
              <w:spacing w:after="60" w:before="0"/>
            </w:pPr>
            <w:r>
              <w:drawing>
                <wp:inline distT="0" distB="0" distL="0" distR="0">
                  <wp:extent cx="38100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1E3A5F"/>
                <w:sz w:val="30"/>
                <w:szCs w:val="30"/>
              </w:rPr>
              <w:t xml:space="preserve">   Ich selbst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1"/>
                <w:szCs w:val="21"/>
              </w:rPr>
              <w:t xml:space="preserve">Mich verstehen und steuern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color w:val="2B2B2B"/>
                <w:sz w:val="22"/>
                <w:szCs w:val="22"/>
              </w:rPr>
              <w:t xml:space="preserve">Ich merke, was ich fühle und will, setze mir Ziele und bleibe dran.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18"/>
                <w:szCs w:val="18"/>
              </w:rPr>
              <w:t xml:space="preserve">Zum Beispiel  </w:t>
            </w: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eine Übungswoche planen, nach einem Fehler neu anfangen, Tagebuch schreiben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CEDDF" w:color="auto" w:val="clear"/>
            <w:tcMar>
              <w:top w:type="dxa" w:w="220"/>
              <w:left w:type="dxa" w:w="200"/>
              <w:bottom w:type="dxa" w:w="220"/>
              <w:right w:type="dxa" w:w="180"/>
            </w:tcMar>
            <w:vAlign w:val="top"/>
          </w:tcPr>
          <w:p>
            <w:pPr>
              <w:spacing w:after="60" w:before="0"/>
            </w:pPr>
            <w:r>
              <w:drawing>
                <wp:inline distT="0" distB="0" distL="0" distR="0">
                  <wp:extent cx="38100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F7F4E"/>
                <w:sz w:val="30"/>
                <w:szCs w:val="30"/>
              </w:rPr>
              <w:t xml:space="preserve">   Natur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21"/>
                <w:szCs w:val="21"/>
              </w:rPr>
              <w:t xml:space="preserve">Natur beobachten und ordnen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color w:val="2B2B2B"/>
                <w:sz w:val="22"/>
                <w:szCs w:val="22"/>
              </w:rPr>
              <w:t xml:space="preserve">Ich beobachte Pflanzen, Tiere und Wetter genau und entdecke Unterschiede.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18"/>
                <w:szCs w:val="18"/>
              </w:rPr>
              <w:t xml:space="preserve">Zum Beispiel  </w:t>
            </w: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ein Tier pflegen, Pflanzen im Garten ziehen, Blätter bestimmen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40"/>
              <w:left w:type="dxa" w:w="200"/>
              <w:bottom w:type="dxa" w:w="140"/>
              <w:right w:type="dxa" w:w="12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21"/>
                <w:szCs w:val="21"/>
              </w:rPr>
              <w:t xml:space="preserve">Gut zu wissen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Eine Tätigkeit braucht meistens mehrere Fähigkeitsfenster gleichzeitig.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Jedes Fähigkeitsfenster kann man öffnen und üben. Es braucht Zeit, Hilfe und Mut zu Fehlern.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• Alle Menschen nutzen alle Fähigkeitsfenster, einfach unterschiedlich oft.</w:t>
            </w:r>
          </w:p>
        </w:tc>
      </w:tr>
    </w:tbl>
    <w:sectPr>
      <w:footerReference w:type="default" r:id="rId7"/>
      <w:pgSz w:w="11906" w:h="16838" w:orient="portrait"/>
      <w:pgMar w:top="850" w:right="850" w:bottom="850" w:left="85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F6F73" w:sz="6" w:space="4"/>
      </w:pBdr>
      <w:tabs>
        <w:tab w:val="right" w:pos="10206"/>
      </w:tabs>
    </w:pPr>
    <w:r>
      <w:rPr>
        <w:rFonts w:ascii="Arial" w:cs="Arial" w:eastAsia="Arial" w:hAnsi="Arial"/>
        <w:b/>
        <w:bCs/>
        <w:color w:val="2F6F73"/>
        <w:sz w:val="16"/>
        <w:szCs w:val="16"/>
      </w:rPr>
      <w:t xml:space="preserve">Praxisfenster</w:t>
    </w:r>
    <w:r>
      <w:rPr>
        <w:rFonts w:ascii="Arial" w:cs="Arial" w:eastAsia="Arial" w:hAnsi="Arial"/>
        <w:color w:val="6B6B6B"/>
        <w:sz w:val="16"/>
        <w:szCs w:val="16"/>
      </w:rPr>
      <w:t xml:space="preserve">   Ein Blick in die Arbeitswelt. Ein Schritt für mich.</w:t>
    </w:r>
    <w:r>
      <w:rPr>
        <w:rFonts w:ascii="Arial" w:cs="Arial" w:eastAsia="Arial" w:hAnsi="Arial"/>
        <w:color w:val="2F6F73"/>
        <w:sz w:val="16"/>
        <w:szCs w:val="16"/>
      </w:rPr>
      <w:t xml:space="preserve">	Fähigkeitsfenster · Übersicht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B2B2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71b06ef9a92ef32bdfba6bc49d50524b100e3ef5.png"/><Relationship Id="rId9" Type="http://schemas.openxmlformats.org/officeDocument/2006/relationships/image" Target="media/31de763d8d4c066619cb3a258ad61fb06ffdf499.png"/><Relationship Id="rId10" Type="http://schemas.openxmlformats.org/officeDocument/2006/relationships/image" Target="media/3692068aca4d2904bc4c59a42ff275b612fd59d7.png"/><Relationship Id="rId11" Type="http://schemas.openxmlformats.org/officeDocument/2006/relationships/image" Target="media/20b60ee2d3468c1c0779dee67550b4a7db947ccc.png"/><Relationship Id="rId12" Type="http://schemas.openxmlformats.org/officeDocument/2006/relationships/image" Target="media/6f94dc1f775cc23c5f4a5190dceb5437e6848d78.png"/><Relationship Id="rId13" Type="http://schemas.openxmlformats.org/officeDocument/2006/relationships/image" Target="media/0357e9cf19df04940b83f27c0d772999e53d6071.png"/><Relationship Id="rId14" Type="http://schemas.openxmlformats.org/officeDocument/2006/relationships/image" Target="media/d491fad76abd4cd6d96812e341435a21f4ae74bf.png"/><Relationship Id="rId15" Type="http://schemas.openxmlformats.org/officeDocument/2006/relationships/image" Target="media/ffdb9be79d5a38f6948653aa05eecd288c0cff30.png"/><Relationship Id="rId16" Type="http://schemas.openxmlformats.org/officeDocument/2006/relationships/image" Target="media/5898927ef1ceabf2b73fd0f63e62d331aaba7797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Meine 8 Fähigkeitsfenster</dc:title>
  <dc:creator>Praxisfenster</dc:creator>
  <cp:lastModifiedBy>Un-named</cp:lastModifiedBy>
  <cp:revision>1</cp:revision>
  <dcterms:created xsi:type="dcterms:W3CDTF">2026-10-19T04:39:53.089Z</dcterms:created>
  <dcterms:modified xsi:type="dcterms:W3CDTF">2026-10-19T04:39:53.091Z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